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>Industry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DIČ: CZ63080303 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zastoupená </w:t>
      </w:r>
      <w:r w:rsidR="00063CE8" w:rsidRPr="00B105D1">
        <w:rPr>
          <w:bCs/>
          <w:sz w:val="20"/>
        </w:rPr>
        <w:t>Ing.</w:t>
      </w:r>
      <w:r w:rsidR="00933B6C" w:rsidRPr="00B105D1">
        <w:rPr>
          <w:bCs/>
          <w:sz w:val="20"/>
        </w:rPr>
        <w:t xml:space="preserve"> Věrou Fouskovou, předsedkyní představenstva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>bankovní spojení: Česká spořitelna, a.s.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933B6C" w:rsidRPr="00B105D1" w:rsidRDefault="00933B6C" w:rsidP="00990671">
      <w:pPr>
        <w:rPr>
          <w:b/>
          <w:sz w:val="20"/>
        </w:rPr>
      </w:pPr>
      <w:r w:rsidRPr="00B105D1">
        <w:rPr>
          <w:b/>
          <w:sz w:val="20"/>
        </w:rPr>
        <w:t xml:space="preserve">WALLMO CZ s.r.o. </w:t>
      </w:r>
    </w:p>
    <w:p w:rsidR="00933B6C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se sídlem: </w:t>
      </w:r>
      <w:r w:rsidR="00933B6C" w:rsidRPr="00B105D1">
        <w:rPr>
          <w:sz w:val="20"/>
        </w:rPr>
        <w:t xml:space="preserve">Rooseveltova 564/6, Brno-město, 602 00 Brno 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IČ: </w:t>
      </w:r>
      <w:r w:rsidR="00933B6C" w:rsidRPr="00B105D1">
        <w:rPr>
          <w:sz w:val="20"/>
        </w:rPr>
        <w:t>26964601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>DIČ: CZ</w:t>
      </w:r>
      <w:r w:rsidR="00933B6C" w:rsidRPr="00B105D1">
        <w:rPr>
          <w:sz w:val="20"/>
        </w:rPr>
        <w:t>26964601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zapsán v: v obchodním  rejstříku  vedeném  </w:t>
      </w:r>
      <w:r w:rsidR="00933B6C" w:rsidRPr="00B105D1">
        <w:rPr>
          <w:sz w:val="20"/>
        </w:rPr>
        <w:t>Krajským</w:t>
      </w:r>
      <w:r w:rsidRPr="00B105D1">
        <w:rPr>
          <w:sz w:val="20"/>
        </w:rPr>
        <w:t xml:space="preserve"> soudem v</w:t>
      </w:r>
      <w:r w:rsidR="00933B6C" w:rsidRPr="00B105D1">
        <w:rPr>
          <w:sz w:val="20"/>
        </w:rPr>
        <w:t> Brně,</w:t>
      </w:r>
      <w:r w:rsidRPr="00B105D1">
        <w:rPr>
          <w:sz w:val="20"/>
        </w:rPr>
        <w:t xml:space="preserve"> oddíl C, vložka </w:t>
      </w:r>
      <w:r w:rsidR="00933B6C" w:rsidRPr="00B105D1">
        <w:rPr>
          <w:sz w:val="20"/>
        </w:rPr>
        <w:t>48658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zastoupená: </w:t>
      </w:r>
      <w:r w:rsidR="00933B6C" w:rsidRPr="00B105D1">
        <w:rPr>
          <w:sz w:val="20"/>
        </w:rPr>
        <w:t xml:space="preserve">Ing. </w:t>
      </w:r>
      <w:r w:rsidRPr="00B105D1">
        <w:rPr>
          <w:sz w:val="20"/>
        </w:rPr>
        <w:t xml:space="preserve">Liborem </w:t>
      </w:r>
      <w:proofErr w:type="spellStart"/>
      <w:r w:rsidRPr="00B105D1">
        <w:rPr>
          <w:sz w:val="20"/>
        </w:rPr>
        <w:t>Soskou</w:t>
      </w:r>
      <w:proofErr w:type="spellEnd"/>
      <w:r w:rsidRPr="00B105D1">
        <w:rPr>
          <w:sz w:val="20"/>
        </w:rPr>
        <w:t>, jednatelem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>bankovní spojení: ČSOB, a.s.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č. účtu: </w:t>
      </w:r>
      <w:r w:rsidR="00933B6C" w:rsidRPr="00B105D1">
        <w:rPr>
          <w:sz w:val="20"/>
        </w:rPr>
        <w:t>198352828/0300</w:t>
      </w:r>
    </w:p>
    <w:p w:rsidR="00CF0040" w:rsidRPr="00B105D1" w:rsidRDefault="00990671" w:rsidP="00990671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nájemce</w:t>
      </w:r>
      <w:r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990671" w:rsidRPr="00B105D1">
        <w:rPr>
          <w:b/>
          <w:sz w:val="20"/>
        </w:rPr>
        <w:t>2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 (</w:t>
      </w:r>
      <w:r w:rsidRPr="00B105D1">
        <w:rPr>
          <w:b/>
          <w:sz w:val="20"/>
        </w:rPr>
        <w:t>dále také jen „SO 10</w:t>
      </w:r>
      <w:r w:rsidR="00990671" w:rsidRPr="00B105D1">
        <w:rPr>
          <w:b/>
          <w:sz w:val="20"/>
        </w:rPr>
        <w:t>3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990671" w:rsidRPr="00B105D1">
        <w:rPr>
          <w:sz w:val="20"/>
        </w:rPr>
        <w:t>l objekt SO 103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Pr="00B105D1">
        <w:rPr>
          <w:b/>
          <w:sz w:val="20"/>
        </w:rPr>
        <w:t xml:space="preserve"> ve II. NP SO 10</w:t>
      </w:r>
      <w:r w:rsidR="00990671" w:rsidRPr="00B105D1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0040" w:rsidRPr="00B105D1" w:rsidRDefault="00990671" w:rsidP="00CF0040">
      <w:pPr>
        <w:spacing w:line="40" w:lineRule="atLeast"/>
        <w:rPr>
          <w:b/>
          <w:sz w:val="20"/>
        </w:rPr>
      </w:pPr>
      <w:r w:rsidRPr="00B105D1">
        <w:rPr>
          <w:b/>
          <w:sz w:val="20"/>
        </w:rPr>
        <w:t>2.21</w:t>
      </w:r>
      <w:r w:rsidRPr="00B105D1">
        <w:rPr>
          <w:b/>
          <w:sz w:val="20"/>
        </w:rPr>
        <w:tab/>
      </w:r>
      <w:r w:rsidRPr="00B105D1">
        <w:rPr>
          <w:b/>
          <w:sz w:val="20"/>
        </w:rPr>
        <w:tab/>
        <w:t>laboratoř</w:t>
      </w:r>
      <w:r w:rsidRPr="00B105D1">
        <w:rPr>
          <w:b/>
          <w:sz w:val="20"/>
        </w:rPr>
        <w:tab/>
      </w:r>
      <w:r w:rsidRPr="00B105D1">
        <w:rPr>
          <w:b/>
          <w:sz w:val="20"/>
        </w:rPr>
        <w:tab/>
        <w:t>34,36</w:t>
      </w:r>
      <w:r w:rsidR="00CF0040" w:rsidRPr="00B105D1">
        <w:rPr>
          <w:b/>
          <w:sz w:val="20"/>
        </w:rPr>
        <w:tab/>
      </w:r>
      <w:r w:rsidR="00CF0040" w:rsidRPr="00B105D1">
        <w:rPr>
          <w:b/>
          <w:sz w:val="20"/>
        </w:rPr>
        <w:tab/>
      </w:r>
    </w:p>
    <w:p w:rsidR="00CF0040" w:rsidRPr="00B105D1" w:rsidRDefault="00CF004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Pr="00B105D1">
        <w:rPr>
          <w:sz w:val="20"/>
        </w:rPr>
        <w:t xml:space="preserve"> v II. NP SO 10</w:t>
      </w:r>
      <w:r w:rsidR="00990671" w:rsidRPr="00B105D1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prostorů v I. a II. NP </w:t>
      </w:r>
      <w:r w:rsidR="00990671" w:rsidRPr="00B105D1">
        <w:rPr>
          <w:b/>
          <w:sz w:val="20"/>
        </w:rPr>
        <w:t>SO 103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Nájemce je oprávněn prostor</w:t>
      </w:r>
      <w:r w:rsidR="00990671" w:rsidRPr="00B105D1">
        <w:rPr>
          <w:sz w:val="20"/>
        </w:rPr>
        <w:t xml:space="preserve"> užívat jako laboratoř vývoje termosetických hmot</w:t>
      </w:r>
      <w:r w:rsidR="00D52569" w:rsidRPr="00B105D1">
        <w:rPr>
          <w:sz w:val="20"/>
        </w:rPr>
        <w:t xml:space="preserve"> bez zaměření na výrobní činnost.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neurčitou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1</w:t>
      </w:r>
      <w:r w:rsidR="008C20B2" w:rsidRPr="00B105D1">
        <w:rPr>
          <w:b/>
          <w:sz w:val="20"/>
        </w:rPr>
        <w:t>.</w:t>
      </w:r>
      <w:r w:rsidR="00933B6C" w:rsidRPr="00B105D1">
        <w:rPr>
          <w:b/>
          <w:sz w:val="20"/>
        </w:rPr>
        <w:t xml:space="preserve"> 8</w:t>
      </w:r>
      <w:r w:rsidR="008C20B2" w:rsidRPr="00B105D1">
        <w:rPr>
          <w:b/>
          <w:sz w:val="20"/>
        </w:rPr>
        <w:t>. 201</w:t>
      </w:r>
      <w:r w:rsidR="00933B6C" w:rsidRPr="00B105D1">
        <w:rPr>
          <w:b/>
          <w:sz w:val="20"/>
        </w:rPr>
        <w:t>8</w:t>
      </w:r>
      <w:r w:rsidRPr="00B105D1">
        <w:rPr>
          <w:sz w:val="20"/>
        </w:rPr>
        <w:t>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Pr="00B105D1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B105D1">
        <w:rPr>
          <w:b/>
          <w:sz w:val="20"/>
        </w:rPr>
        <w:t>příloze č. 2 této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služeb v odst. 5.4.1 písm. e) až n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  <w:r w:rsidR="009417FF">
        <w:rPr>
          <w:sz w:val="20"/>
        </w:rPr>
        <w:t xml:space="preserve">Počínaje 4. rokem trvání této smlouvy </w:t>
      </w:r>
      <w:r w:rsidR="00BE6CC7">
        <w:rPr>
          <w:sz w:val="20"/>
        </w:rPr>
        <w:t xml:space="preserve">(tj. od 1. 8. 2021) </w:t>
      </w:r>
      <w:r w:rsidR="009417FF">
        <w:rPr>
          <w:sz w:val="20"/>
        </w:rPr>
        <w:t xml:space="preserve">se použije kalkulace uvedená </w:t>
      </w:r>
      <w:r w:rsidR="009417FF" w:rsidRPr="009417FF">
        <w:rPr>
          <w:b/>
          <w:sz w:val="20"/>
        </w:rPr>
        <w:t>v příloze č. 3</w:t>
      </w:r>
      <w:r w:rsidR="009417FF">
        <w:rPr>
          <w:b/>
          <w:sz w:val="20"/>
        </w:rPr>
        <w:t xml:space="preserve"> této smlouvy</w:t>
      </w:r>
      <w:r w:rsidR="009417FF">
        <w:rPr>
          <w:sz w:val="20"/>
        </w:rPr>
        <w:t xml:space="preserve">, pokud se smluvní strany mezitím nedohodnou jinak. </w:t>
      </w:r>
      <w:r w:rsidR="00E25546" w:rsidRPr="00B105D1">
        <w:rPr>
          <w:sz w:val="20"/>
        </w:rPr>
        <w:t xml:space="preserve">Pronajímatel je oprávněn upravit výši nájemného počínaje 4. </w:t>
      </w:r>
      <w:r w:rsidR="008843C6" w:rsidRPr="00B105D1">
        <w:rPr>
          <w:sz w:val="20"/>
        </w:rPr>
        <w:t>r</w:t>
      </w:r>
      <w:r w:rsidR="00E25546" w:rsidRPr="00B105D1">
        <w:rPr>
          <w:sz w:val="20"/>
        </w:rPr>
        <w:t xml:space="preserve">okem trvání nájmu, </w:t>
      </w:r>
      <w:r w:rsidR="008843C6" w:rsidRPr="00B105D1">
        <w:rPr>
          <w:sz w:val="20"/>
        </w:rPr>
        <w:t>kdy zvýšení může představovat maximálně částku reflektující kumulovanou míru inflace dle ČSÚ za období, které mezitím uplynulo od podpisu této smlouvy.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r w:rsidRPr="00B105D1">
        <w:rPr>
          <w:b/>
          <w:sz w:val="20"/>
        </w:rPr>
        <w:t>věst</w:t>
      </w:r>
      <w:proofErr w:type="spellEnd"/>
      <w:r w:rsidRPr="00B105D1">
        <w:rPr>
          <w:b/>
          <w:sz w:val="20"/>
        </w:rPr>
        <w:t>. L 352, 24. 12. 2013, s.1).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933B6C" w:rsidRPr="00B105D1">
        <w:rPr>
          <w:sz w:val="20"/>
          <w:u w:val="single"/>
        </w:rPr>
        <w:t>51 540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(resp. 3)</w:t>
      </w:r>
      <w:r w:rsidRPr="00B105D1">
        <w:rPr>
          <w:sz w:val="20"/>
        </w:rPr>
        <w:t xml:space="preserve"> této smlouvy.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Nájemné bude hrazeno bezhotovostním převodem na účet pronajímatele, uvedený na daňovém dokladu. K nájemnému a k ceně za služ</w:t>
      </w:r>
      <w:r w:rsidR="00C325B7" w:rsidRPr="00B105D1">
        <w:rPr>
          <w:sz w:val="20"/>
        </w:rPr>
        <w:t>by spojené s užíváváním prostoru</w:t>
      </w:r>
      <w:r w:rsidRPr="00B105D1">
        <w:rPr>
          <w:sz w:val="20"/>
        </w:rPr>
        <w:t xml:space="preserve"> (odst. 5.4) bude připočtena daň z přidané hodnoty. Sazba DPH bude stanovena dle zákona o DPH platného v době uskutečnění zdanitelného plnění. Základem </w:t>
      </w:r>
      <w:r w:rsidR="00C325B7" w:rsidRPr="00B105D1">
        <w:rPr>
          <w:sz w:val="20"/>
        </w:rPr>
        <w:t>daně je v případě nájmu prostoru</w:t>
      </w:r>
      <w:r w:rsidRPr="00B105D1">
        <w:rPr>
          <w:sz w:val="20"/>
        </w:rPr>
        <w:t xml:space="preserve"> zvýhodněné nájemné a v případě služeb spoje</w:t>
      </w:r>
      <w:r w:rsidR="00C325B7" w:rsidRPr="00B105D1">
        <w:rPr>
          <w:sz w:val="20"/>
        </w:rPr>
        <w:t>ných s užíváním prostoru</w:t>
      </w:r>
      <w:r w:rsidR="00582B3C">
        <w:rPr>
          <w:sz w:val="20"/>
        </w:rPr>
        <w:t xml:space="preserve"> v odst. 5.4.1 písm. e</w:t>
      </w:r>
      <w:r w:rsidRPr="00B105D1">
        <w:rPr>
          <w:sz w:val="20"/>
        </w:rPr>
        <w:t xml:space="preserve">) až </w:t>
      </w:r>
      <w:r w:rsidR="00582B3C">
        <w:rPr>
          <w:sz w:val="20"/>
        </w:rPr>
        <w:t>n</w:t>
      </w:r>
      <w:r w:rsidRPr="00B105D1">
        <w:rPr>
          <w:sz w:val="20"/>
        </w:rPr>
        <w:t>) zvýhodněná cena těchto služeb.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lastRenderedPageBreak/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5.4 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za: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plynu </w:t>
      </w:r>
      <w:r w:rsidRPr="00B105D1">
        <w:rPr>
          <w:sz w:val="20"/>
        </w:rPr>
        <w:t>– služba není poskytována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730E9E" w:rsidP="00CF0040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B105D1">
        <w:rPr>
          <w:b/>
          <w:sz w:val="20"/>
        </w:rPr>
        <w:t>serverovna</w:t>
      </w:r>
      <w:proofErr w:type="spellEnd"/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1000B4" w:rsidRPr="002E10A9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úklid prostorů </w:t>
      </w:r>
      <w:r w:rsidR="00C325B7" w:rsidRPr="00B105D1">
        <w:rPr>
          <w:sz w:val="20"/>
        </w:rPr>
        <w:t>– služba není poskytována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>5.4.1.2 Otápění prostorů a poskytování TUV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>Pronajímatel se zavazuje k otápění prostorů a poskytování TUV nájemci a nájemce se zavazuje platit za tuto službu pronajímateli úhradu formou paušální platby ve výši stanovené v Příloze č. 2  této smlouvy,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 a poskytování TUV pro kanceláře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této smlouvy nájemci, pokud pronajímatel nesdělí nájemci pozdější termín účinnosti. </w:t>
      </w:r>
    </w:p>
    <w:p w:rsidR="002E10A9" w:rsidRPr="002E10A9" w:rsidRDefault="002E10A9" w:rsidP="002E10A9">
      <w:pPr>
        <w:spacing w:after="120"/>
        <w:rPr>
          <w:sz w:val="20"/>
        </w:rPr>
      </w:pPr>
      <w:r w:rsidRPr="002E10A9">
        <w:rPr>
          <w:b/>
          <w:sz w:val="20"/>
        </w:rPr>
        <w:t xml:space="preserve">5.4.1.3 Plyn </w:t>
      </w:r>
      <w:r w:rsidR="004E22CE">
        <w:rPr>
          <w:b/>
          <w:sz w:val="20"/>
        </w:rPr>
        <w:t>– není poskytováno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bookmarkStart w:id="0" w:name="_GoBack"/>
      <w:bookmarkEnd w:id="0"/>
      <w:r w:rsidRPr="002E10A9">
        <w:rPr>
          <w:b/>
          <w:sz w:val="20"/>
        </w:rPr>
        <w:t>5.4.1.4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2E10A9" w:rsidP="002E10A9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t>5.4.1.5</w:t>
      </w:r>
      <w:r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 xml:space="preserve">za poskytnuté energie a média (elektřina, plyn, vodné a stočné) je dán podílem podlahové plochy nájemci pronajatého prostoru vůči celkové podlahové ploše prostorů měřených stejným </w:t>
      </w:r>
      <w:r>
        <w:rPr>
          <w:sz w:val="20"/>
        </w:rPr>
        <w:lastRenderedPageBreak/>
        <w:t>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r w:rsidRPr="00430EE9">
        <w:rPr>
          <w:sz w:val="20"/>
        </w:rPr>
        <w:t>el.energii</w:t>
      </w:r>
      <w:proofErr w:type="spell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5.4.1.6 Služby spojené s užívání</w:t>
      </w:r>
      <w:r w:rsidR="00582B3C">
        <w:rPr>
          <w:b/>
          <w:sz w:val="20"/>
        </w:rPr>
        <w:t>m prostorů v odst. 5.4.1 písm. e</w:t>
      </w:r>
      <w:r w:rsidRPr="00B105D1">
        <w:rPr>
          <w:b/>
          <w:sz w:val="20"/>
        </w:rPr>
        <w:t xml:space="preserve">) až </w:t>
      </w:r>
      <w:r w:rsidR="00582B3C">
        <w:rPr>
          <w:b/>
          <w:sz w:val="20"/>
        </w:rPr>
        <w:t>n</w:t>
      </w:r>
      <w:r w:rsidRPr="00B105D1">
        <w:rPr>
          <w:b/>
          <w:sz w:val="20"/>
        </w:rPr>
        <w:t>):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582B3C">
        <w:rPr>
          <w:sz w:val="20"/>
        </w:rPr>
        <w:t xml:space="preserve"> v odst. 5.4.1 písm. e) až n</w:t>
      </w:r>
      <w:r w:rsidRPr="00B105D1">
        <w:rPr>
          <w:sz w:val="20"/>
        </w:rPr>
        <w:t xml:space="preserve">), 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r w:rsidRPr="00B105D1">
        <w:rPr>
          <w:sz w:val="20"/>
        </w:rPr>
        <w:t xml:space="preserve">této smlouvy. V příloze č. 2 je rovněž vymezena tržní cena těchto služeb.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 odst. 5.4.1 písm. e</w:t>
      </w:r>
      <w:r w:rsidRPr="00B105D1">
        <w:rPr>
          <w:sz w:val="20"/>
        </w:rPr>
        <w:t xml:space="preserve">) až </w:t>
      </w:r>
      <w:r w:rsidR="00582B3C">
        <w:rPr>
          <w:sz w:val="20"/>
        </w:rPr>
        <w:t>n</w:t>
      </w:r>
      <w:r w:rsidRPr="00B105D1">
        <w:rPr>
          <w:sz w:val="20"/>
        </w:rPr>
        <w:t xml:space="preserve">)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r w:rsidRPr="00B105D1">
        <w:rPr>
          <w:sz w:val="20"/>
        </w:rPr>
        <w:t>el.energie</w:t>
      </w:r>
      <w:proofErr w:type="spellEnd"/>
      <w:r w:rsidRPr="00B105D1">
        <w:rPr>
          <w:sz w:val="20"/>
        </w:rPr>
        <w:t>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služeb v odst. 5.4.1 písm. e) až n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r w:rsidRPr="00B105D1">
        <w:rPr>
          <w:b/>
          <w:sz w:val="20"/>
        </w:rPr>
        <w:t>věst</w:t>
      </w:r>
      <w:proofErr w:type="spellEnd"/>
      <w:r w:rsidRPr="00B105D1">
        <w:rPr>
          <w:b/>
          <w:sz w:val="20"/>
        </w:rPr>
        <w:t xml:space="preserve">. L 352, 24. 12. 2013, </w:t>
      </w:r>
      <w:proofErr w:type="spellStart"/>
      <w:r w:rsidRPr="00B105D1">
        <w:rPr>
          <w:b/>
          <w:sz w:val="20"/>
        </w:rPr>
        <w:t>s.1</w:t>
      </w:r>
      <w:proofErr w:type="spellEnd"/>
      <w:r w:rsidRPr="00B105D1">
        <w:rPr>
          <w:b/>
          <w:sz w:val="20"/>
        </w:rPr>
        <w:t>).</w:t>
      </w:r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730E9E" w:rsidRPr="00B105D1">
        <w:rPr>
          <w:sz w:val="20"/>
          <w:u w:val="single"/>
        </w:rPr>
        <w:t>224</w:t>
      </w:r>
      <w:r w:rsidR="00933B6C" w:rsidRPr="00B105D1">
        <w:rPr>
          <w:sz w:val="20"/>
          <w:u w:val="single"/>
        </w:rPr>
        <w:t> </w:t>
      </w:r>
      <w:r w:rsidR="00730E9E" w:rsidRPr="00B105D1">
        <w:rPr>
          <w:sz w:val="20"/>
          <w:u w:val="single"/>
        </w:rPr>
        <w:t>553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933B6C" w:rsidRPr="00B105D1">
        <w:rPr>
          <w:sz w:val="20"/>
          <w:u w:val="single"/>
        </w:rPr>
        <w:t>276 093</w:t>
      </w:r>
      <w:r w:rsidRPr="00B105D1">
        <w:rPr>
          <w:sz w:val="20"/>
          <w:u w:val="single"/>
        </w:rPr>
        <w:t xml:space="preserve"> Kč.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582B3C">
        <w:rPr>
          <w:b/>
          <w:sz w:val="20"/>
        </w:rPr>
        <w:t>n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 w:rsidR="004E22CE"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r w:rsidRPr="00BE6CC7">
        <w:rPr>
          <w:sz w:val="20"/>
        </w:rPr>
        <w:t>el.energii</w:t>
      </w:r>
      <w:proofErr w:type="spell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>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Nájemce bude platit měsíční splátky paušální platby za otápění prostorů a poskytování TUV ve výši 1/12 roční paušální platby stanovené v Příloze č. 2 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BE6CC7">
      <w:pPr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790E95" w:rsidRDefault="00790E95" w:rsidP="00790E95">
      <w:pPr>
        <w:jc w:val="both"/>
        <w:rPr>
          <w:sz w:val="20"/>
        </w:rPr>
      </w:pPr>
      <w:r w:rsidRPr="00790E95">
        <w:rPr>
          <w:sz w:val="20"/>
        </w:rPr>
        <w:t xml:space="preserve">Nájemce je povinen do jednoho měsíce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B0755F">
        <w:rPr>
          <w:b/>
          <w:sz w:val="20"/>
        </w:rPr>
        <w:t>8 000</w:t>
      </w:r>
      <w:r w:rsidRPr="00790E95">
        <w:rPr>
          <w:b/>
          <w:sz w:val="20"/>
        </w:rPr>
        <w:t xml:space="preserve"> Kč. </w:t>
      </w:r>
      <w:r w:rsidRPr="00790E95">
        <w:rPr>
          <w:sz w:val="20"/>
        </w:rPr>
        <w:t xml:space="preserve">Neuhrazení jistoty zakládá právo pronajímatele vypovědět smlouvu bez výpovědní doby. Pronajímatel je oprávněn jednostranně započít jistotu vůči jakýmkoliv splatným pohledávkám vzniklých z titulu této smlouvy </w:t>
      </w:r>
      <w:r w:rsidRPr="00790E95">
        <w:rPr>
          <w:sz w:val="20"/>
        </w:rPr>
        <w:lastRenderedPageBreak/>
        <w:t>či se vztahujícím k předmětu této smlouvy. Po skončení nájmu a vypořádání ostatních pohledávek bude jistota, bude jistota či její zbylá část bezodkladně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</w:t>
      </w:r>
      <w:r w:rsidRPr="00B105D1">
        <w:rPr>
          <w:sz w:val="20"/>
        </w:rPr>
        <w:lastRenderedPageBreak/>
        <w:t xml:space="preserve">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Pr="00B105D1">
        <w:rPr>
          <w:sz w:val="20"/>
        </w:rPr>
        <w:t xml:space="preserve">Pronajímatel může vypovědět nájem z důvodů uvedených v § 2309 a nájemce z důvodů uvedených v § 2308 z. č. 89/2012 Sb., občanský zákoník. </w:t>
      </w:r>
      <w:r w:rsidR="008843C6" w:rsidRPr="00B105D1">
        <w:rPr>
          <w:sz w:val="20"/>
        </w:rPr>
        <w:t xml:space="preserve">Pronajímatel i nájemce jsou však oprávněni nájem vypovědět i bez uvedení důvodu, to však nejdříve po </w:t>
      </w:r>
      <w:r w:rsidR="00D95117">
        <w:rPr>
          <w:sz w:val="20"/>
        </w:rPr>
        <w:t>jednom roku</w:t>
      </w:r>
      <w:r w:rsidR="008843C6" w:rsidRPr="00B105D1">
        <w:rPr>
          <w:sz w:val="20"/>
        </w:rPr>
        <w:t xml:space="preserve"> trvání nájmu dle této smlouvy.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 jedenácté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 odst. 2.2. této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č.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lastRenderedPageBreak/>
        <w:t xml:space="preserve">11.6 </w:t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BE6CC7">
        <w:rPr>
          <w:sz w:val="20"/>
        </w:rPr>
        <w:t>n</w:t>
      </w:r>
      <w:r w:rsidRPr="00B105D1">
        <w:rPr>
          <w:sz w:val="20"/>
        </w:rPr>
        <w:t>) smlouvy</w:t>
      </w:r>
      <w:r w:rsidR="00933B6C" w:rsidRPr="00B105D1">
        <w:rPr>
          <w:sz w:val="20"/>
        </w:rPr>
        <w:t xml:space="preserve"> – </w:t>
      </w:r>
      <w:r w:rsidR="00933B6C" w:rsidRPr="00B105D1">
        <w:rPr>
          <w:b/>
          <w:sz w:val="20"/>
        </w:rPr>
        <w:t>1. až 3. rok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3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BE6CC7">
        <w:rPr>
          <w:sz w:val="20"/>
        </w:rPr>
        <w:t>n</w:t>
      </w:r>
      <w:r w:rsidRPr="00B105D1">
        <w:rPr>
          <w:sz w:val="20"/>
        </w:rPr>
        <w:t xml:space="preserve">) smlouvy – </w:t>
      </w:r>
      <w:r w:rsidRPr="00B105D1">
        <w:rPr>
          <w:b/>
          <w:sz w:val="20"/>
        </w:rPr>
        <w:t>od 4. roku</w:t>
      </w: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Industry Servis ZK, a.s.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933B6C" w:rsidRPr="00B105D1">
        <w:rPr>
          <w:sz w:val="20"/>
        </w:rPr>
        <w:t>WALLMO CZ</w:t>
      </w:r>
      <w:r w:rsidR="00730E9E" w:rsidRPr="00B105D1">
        <w:rPr>
          <w:sz w:val="20"/>
        </w:rPr>
        <w:t xml:space="preserve"> s.r.o.</w:t>
      </w:r>
    </w:p>
    <w:p w:rsidR="00CF0040" w:rsidRPr="00B105D1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 xml:space="preserve">Ing. </w:t>
      </w:r>
      <w:r w:rsidR="00933B6C" w:rsidRPr="00B105D1">
        <w:rPr>
          <w:sz w:val="20"/>
        </w:rPr>
        <w:t>Věra Fousková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="00933B6C" w:rsidRPr="00B105D1">
        <w:rPr>
          <w:sz w:val="20"/>
        </w:rPr>
        <w:t xml:space="preserve">Ing. Libor </w:t>
      </w:r>
      <w:proofErr w:type="spellStart"/>
      <w:r w:rsidR="00933B6C" w:rsidRPr="00B105D1">
        <w:rPr>
          <w:sz w:val="20"/>
        </w:rPr>
        <w:t>Soska</w:t>
      </w:r>
      <w:proofErr w:type="spellEnd"/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>předsedkyně</w:t>
      </w:r>
      <w:r w:rsidR="00CF0040" w:rsidRPr="00B105D1">
        <w:rPr>
          <w:sz w:val="20"/>
        </w:rPr>
        <w:t xml:space="preserve"> představenstva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Pr="00B105D1">
        <w:rPr>
          <w:sz w:val="20"/>
        </w:rPr>
        <w:t>jednatel</w:t>
      </w:r>
    </w:p>
    <w:sectPr w:rsidR="00CF0040" w:rsidRPr="00B105D1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DF" w:rsidRDefault="00824FDF" w:rsidP="00952B48">
      <w:r>
        <w:separator/>
      </w:r>
    </w:p>
  </w:endnote>
  <w:endnote w:type="continuationSeparator" w:id="0">
    <w:p w:rsidR="00824FDF" w:rsidRDefault="00824FDF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006D8D">
              <w:rPr>
                <w:b/>
                <w:noProof/>
                <w:sz w:val="22"/>
                <w:szCs w:val="22"/>
              </w:rPr>
              <w:t>4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006D8D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DF" w:rsidRDefault="00824FDF" w:rsidP="00952B48">
      <w:r>
        <w:separator/>
      </w:r>
    </w:p>
  </w:footnote>
  <w:footnote w:type="continuationSeparator" w:id="0">
    <w:p w:rsidR="00824FDF" w:rsidRDefault="00824FDF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>číslo smlouvy: NAJ/002/2018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61816"/>
    <w:rsid w:val="00063CE8"/>
    <w:rsid w:val="001000B4"/>
    <w:rsid w:val="00187995"/>
    <w:rsid w:val="001A14A5"/>
    <w:rsid w:val="001F01A8"/>
    <w:rsid w:val="00213E74"/>
    <w:rsid w:val="00235688"/>
    <w:rsid w:val="00253567"/>
    <w:rsid w:val="002E10A9"/>
    <w:rsid w:val="002E58BC"/>
    <w:rsid w:val="004706F4"/>
    <w:rsid w:val="004E22CE"/>
    <w:rsid w:val="00582B3C"/>
    <w:rsid w:val="005B7963"/>
    <w:rsid w:val="00694117"/>
    <w:rsid w:val="006B5633"/>
    <w:rsid w:val="006C42FF"/>
    <w:rsid w:val="006E2DCC"/>
    <w:rsid w:val="00730E9E"/>
    <w:rsid w:val="00757DB0"/>
    <w:rsid w:val="00790E95"/>
    <w:rsid w:val="00792699"/>
    <w:rsid w:val="007E3E32"/>
    <w:rsid w:val="00803F38"/>
    <w:rsid w:val="00824FDF"/>
    <w:rsid w:val="008843C6"/>
    <w:rsid w:val="00894E04"/>
    <w:rsid w:val="008C20B2"/>
    <w:rsid w:val="008D53F1"/>
    <w:rsid w:val="0092082E"/>
    <w:rsid w:val="00933B6C"/>
    <w:rsid w:val="009417FF"/>
    <w:rsid w:val="00952B48"/>
    <w:rsid w:val="00990671"/>
    <w:rsid w:val="00A05CED"/>
    <w:rsid w:val="00A0626B"/>
    <w:rsid w:val="00A85773"/>
    <w:rsid w:val="00B0755F"/>
    <w:rsid w:val="00B105D1"/>
    <w:rsid w:val="00B750D3"/>
    <w:rsid w:val="00BE6CC7"/>
    <w:rsid w:val="00C325B7"/>
    <w:rsid w:val="00CD4352"/>
    <w:rsid w:val="00CF0040"/>
    <w:rsid w:val="00D159E1"/>
    <w:rsid w:val="00D41C30"/>
    <w:rsid w:val="00D52569"/>
    <w:rsid w:val="00D7103B"/>
    <w:rsid w:val="00D809DC"/>
    <w:rsid w:val="00D95117"/>
    <w:rsid w:val="00DB2E99"/>
    <w:rsid w:val="00DC3B67"/>
    <w:rsid w:val="00DD56AD"/>
    <w:rsid w:val="00E208D9"/>
    <w:rsid w:val="00E25546"/>
    <w:rsid w:val="00E95CD4"/>
    <w:rsid w:val="00F16927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E993-E5D2-4EF1-9ABF-9858B4F7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3558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22</cp:revision>
  <cp:lastPrinted>2015-11-19T10:09:00Z</cp:lastPrinted>
  <dcterms:created xsi:type="dcterms:W3CDTF">2018-07-30T11:28:00Z</dcterms:created>
  <dcterms:modified xsi:type="dcterms:W3CDTF">2018-08-01T08:43:00Z</dcterms:modified>
</cp:coreProperties>
</file>