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bookmarkStart w:id="0" w:name="_GoBack"/>
      <w:bookmarkEnd w:id="0"/>
    </w:p>
    <w:p w:rsidR="007E5003" w:rsidRPr="00C230F1" w:rsidRDefault="007E5003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 w:rsidRPr="00C230F1">
        <w:rPr>
          <w:rFonts w:ascii="Arial" w:hAnsi="Arial" w:cs="Arial"/>
          <w:bCs/>
          <w:sz w:val="52"/>
          <w:szCs w:val="52"/>
        </w:rPr>
        <w:t xml:space="preserve">Manuál pro </w:t>
      </w:r>
      <w:r w:rsidR="00651AD3" w:rsidRPr="00C230F1">
        <w:rPr>
          <w:rFonts w:ascii="Arial" w:hAnsi="Arial" w:cs="Arial"/>
          <w:bCs/>
          <w:sz w:val="52"/>
          <w:szCs w:val="52"/>
        </w:rPr>
        <w:t>do</w:t>
      </w:r>
      <w:r w:rsidRPr="00C230F1">
        <w:rPr>
          <w:rFonts w:ascii="Arial" w:hAnsi="Arial" w:cs="Arial"/>
          <w:bCs/>
          <w:sz w:val="52"/>
          <w:szCs w:val="52"/>
        </w:rPr>
        <w:t>davatele</w:t>
      </w:r>
    </w:p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316731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18785D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>
        <w:rPr>
          <w:rFonts w:ascii="Arial" w:hAnsi="Arial" w:cs="Arial"/>
          <w:bCs/>
          <w:noProof/>
          <w:szCs w:val="24"/>
          <w:u w:val="single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-962660</wp:posOffset>
            </wp:positionH>
            <wp:positionV relativeFrom="line">
              <wp:posOffset>149860</wp:posOffset>
            </wp:positionV>
            <wp:extent cx="1690370" cy="1764030"/>
            <wp:effectExtent l="0" t="0" r="5080" b="7620"/>
            <wp:wrapNone/>
            <wp:docPr id="28" name="obrázek 2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C230F1">
        <w:rPr>
          <w:rFonts w:ascii="Arial" w:hAnsi="Arial" w:cs="Arial"/>
          <w:bCs/>
          <w:sz w:val="22"/>
          <w:szCs w:val="22"/>
        </w:rPr>
        <w:t>:</w:t>
      </w:r>
      <w:r w:rsidR="00475E3B" w:rsidRPr="00C230F1">
        <w:rPr>
          <w:rFonts w:ascii="Arial" w:hAnsi="Arial" w:cs="Arial"/>
          <w:bCs/>
          <w:sz w:val="22"/>
          <w:szCs w:val="22"/>
        </w:rPr>
        <w:t xml:space="preserve"> </w:t>
      </w:r>
      <w:r w:rsidR="00475E3B" w:rsidRPr="00C230F1">
        <w:rPr>
          <w:rFonts w:ascii="Arial" w:hAnsi="Arial" w:cs="Arial"/>
          <w:bCs/>
          <w:sz w:val="22"/>
          <w:szCs w:val="22"/>
        </w:rPr>
        <w:tab/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>J.</w:t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:rsidR="00956A61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ab/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12.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12.</w:t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2014</w:t>
      </w: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Cs w:val="24"/>
          <w:u w:val="single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40"/>
        <w:gridCol w:w="1414"/>
        <w:gridCol w:w="1415"/>
        <w:gridCol w:w="1415"/>
      </w:tblGrid>
      <w:tr w:rsidR="00956A61" w:rsidRPr="00C230F1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Platí od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 w:right="170"/>
              <w:rPr>
                <w:rFonts w:cs="Arial"/>
              </w:rPr>
            </w:pPr>
            <w:r w:rsidRPr="00C230F1">
              <w:rPr>
                <w:rFonts w:cs="Arial"/>
              </w:rP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/>
              <w:jc w:val="both"/>
              <w:rPr>
                <w:rFonts w:cs="Arial"/>
              </w:rPr>
            </w:pPr>
            <w:r w:rsidRPr="00C230F1">
              <w:rPr>
                <w:rFonts w:cs="Arial"/>
              </w:rP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Pánek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 w:right="170"/>
              <w:rPr>
                <w:rFonts w:cs="Arial"/>
              </w:rPr>
            </w:pPr>
            <w:r w:rsidRPr="00C230F1">
              <w:rPr>
                <w:rFonts w:cs="Arial"/>
              </w:rPr>
              <w:t xml:space="preserve"> 21. 3. 2010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956A61" w:rsidRPr="00C230F1" w:rsidRDefault="00956A61" w:rsidP="00956A61">
            <w:pPr>
              <w:pStyle w:val="Tnormal"/>
              <w:ind w:left="113" w:right="170"/>
              <w:rPr>
                <w:rFonts w:cs="Arial"/>
              </w:rPr>
            </w:pPr>
            <w:r w:rsidRPr="00C230F1">
              <w:rPr>
                <w:rFonts w:cs="Arial"/>
              </w:rPr>
              <w:t>2.00</w:t>
            </w:r>
          </w:p>
        </w:tc>
        <w:tc>
          <w:tcPr>
            <w:tcW w:w="4140" w:type="dxa"/>
            <w:vAlign w:val="center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Bledá</w:t>
            </w:r>
          </w:p>
        </w:tc>
        <w:tc>
          <w:tcPr>
            <w:tcW w:w="1415" w:type="dxa"/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20. 1. 2011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6A50FC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 xml:space="preserve"> </w:t>
            </w:r>
            <w:r w:rsidR="00956A61" w:rsidRPr="00C230F1">
              <w:rPr>
                <w:rFonts w:cs="Arial"/>
              </w:rPr>
              <w:t>3.00</w:t>
            </w:r>
          </w:p>
        </w:tc>
        <w:tc>
          <w:tcPr>
            <w:tcW w:w="4140" w:type="dxa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Revize </w:t>
            </w: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Hazuchová</w:t>
            </w: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591398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1. 1. 2015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</w:tbl>
    <w:p w:rsidR="00956A61" w:rsidRPr="00C230F1" w:rsidRDefault="00956A61" w:rsidP="00956A61">
      <w:pPr>
        <w:rPr>
          <w:rFonts w:ascii="Arial" w:hAnsi="Arial" w:cs="Arial"/>
        </w:rPr>
      </w:pPr>
    </w:p>
    <w:p w:rsidR="00D5597F" w:rsidRPr="00A73905" w:rsidRDefault="00905CE0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Cs w:val="24"/>
          <w:u w:val="single"/>
        </w:rPr>
        <w:br w:type="page"/>
      </w:r>
    </w:p>
    <w:p w:rsidR="007A20A9" w:rsidRPr="00A73905" w:rsidRDefault="00846837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</w:rPr>
      </w:pPr>
      <w:r w:rsidRPr="00A73905">
        <w:rPr>
          <w:rFonts w:ascii="Arial" w:hAnsi="Arial" w:cs="Arial"/>
          <w:bCs/>
          <w:sz w:val="22"/>
          <w:szCs w:val="22"/>
          <w:u w:val="single"/>
        </w:rPr>
        <w:t xml:space="preserve">Adresa </w:t>
      </w:r>
      <w:r w:rsidR="009D3FA3" w:rsidRPr="00A73905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A73905">
        <w:rPr>
          <w:rFonts w:ascii="Arial" w:hAnsi="Arial" w:cs="Arial"/>
          <w:bCs/>
          <w:sz w:val="22"/>
          <w:szCs w:val="22"/>
          <w:u w:val="single"/>
        </w:rPr>
        <w:t>:</w:t>
      </w:r>
      <w:r w:rsidR="008151B5" w:rsidRPr="00A73905">
        <w:rPr>
          <w:rFonts w:ascii="Arial" w:hAnsi="Arial" w:cs="Arial"/>
          <w:bCs/>
          <w:sz w:val="22"/>
          <w:szCs w:val="22"/>
        </w:rPr>
        <w:t xml:space="preserve"> </w:t>
      </w:r>
      <w:r w:rsidRPr="00A73905">
        <w:rPr>
          <w:rFonts w:ascii="Arial" w:hAnsi="Arial" w:cs="Arial"/>
          <w:bCs/>
          <w:sz w:val="22"/>
          <w:szCs w:val="22"/>
        </w:rPr>
        <w:t xml:space="preserve">     </w:t>
      </w:r>
      <w:r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 w:val="0"/>
          <w:sz w:val="22"/>
          <w:szCs w:val="22"/>
        </w:rPr>
        <w:t>Antonína Čermáka 2a, 160 68 Praha 6 – Bubeneč</w:t>
      </w:r>
    </w:p>
    <w:p w:rsidR="00824A09" w:rsidRPr="00A73905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D5597F" w:rsidRPr="00A73905" w:rsidRDefault="00D5597F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A73905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A73905">
        <w:rPr>
          <w:rFonts w:ascii="Arial" w:hAnsi="Arial" w:cs="Arial"/>
          <w:b w:val="0"/>
          <w:bCs/>
          <w:sz w:val="22"/>
          <w:szCs w:val="22"/>
        </w:rPr>
        <w:tab/>
      </w:r>
      <w:r w:rsidRPr="00A73905">
        <w:rPr>
          <w:rFonts w:ascii="Arial" w:hAnsi="Arial" w:cs="Arial"/>
          <w:b w:val="0"/>
          <w:bCs/>
          <w:sz w:val="22"/>
          <w:szCs w:val="22"/>
        </w:rPr>
        <w:tab/>
      </w:r>
      <w:r w:rsidRPr="00A73905">
        <w:rPr>
          <w:rFonts w:ascii="Arial" w:hAnsi="Arial" w:cs="Arial"/>
          <w:b w:val="0"/>
          <w:bCs/>
          <w:sz w:val="22"/>
          <w:szCs w:val="22"/>
        </w:rPr>
        <w:tab/>
      </w:r>
    </w:p>
    <w:p w:rsidR="00A10EDD" w:rsidRPr="00A73905" w:rsidRDefault="004F6E6A" w:rsidP="006961DD">
      <w:pPr>
        <w:pStyle w:val="Titre11"/>
        <w:tabs>
          <w:tab w:val="clear" w:pos="567"/>
        </w:tabs>
        <w:spacing w:after="0"/>
        <w:ind w:left="4950" w:hanging="4950"/>
        <w:rPr>
          <w:rFonts w:ascii="Arial" w:hAnsi="Arial" w:cs="Arial"/>
          <w:b w:val="0"/>
          <w:bCs/>
          <w:sz w:val="22"/>
          <w:szCs w:val="22"/>
        </w:rPr>
      </w:pPr>
      <w:r w:rsidRPr="00A73905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 w:rsidR="009D3FA3" w:rsidRPr="00A73905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A73905">
        <w:rPr>
          <w:rFonts w:ascii="Arial" w:hAnsi="Arial" w:cs="Arial"/>
          <w:bCs/>
          <w:sz w:val="22"/>
          <w:szCs w:val="22"/>
          <w:u w:val="single"/>
        </w:rPr>
        <w:t>:</w:t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6961DD" w:rsidRPr="00A73905">
        <w:rPr>
          <w:rFonts w:ascii="Arial" w:hAnsi="Arial" w:cs="Arial"/>
          <w:b w:val="0"/>
          <w:sz w:val="22"/>
          <w:szCs w:val="22"/>
        </w:rPr>
        <w:t xml:space="preserve">Upgrade </w:t>
      </w:r>
      <w:r w:rsidR="00A73905" w:rsidRPr="00A73905">
        <w:rPr>
          <w:rFonts w:ascii="Arial" w:hAnsi="Arial" w:cs="Arial"/>
          <w:b w:val="0"/>
          <w:sz w:val="22"/>
          <w:szCs w:val="22"/>
        </w:rPr>
        <w:t>Mezirezortního informačního systému</w:t>
      </w:r>
    </w:p>
    <w:p w:rsidR="00A10EDD" w:rsidRPr="00A73905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A73905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05CE0" w:rsidRPr="00A73905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A73905" w:rsidRDefault="00651AD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eastAsia="fr-FR"/>
        </w:rPr>
      </w:pPr>
      <w:r w:rsidRPr="00A73905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9D3FA3" w:rsidRPr="00A73905">
        <w:rPr>
          <w:rFonts w:ascii="Arial" w:hAnsi="Arial" w:cs="Arial"/>
          <w:b/>
          <w:bCs/>
          <w:sz w:val="22"/>
          <w:szCs w:val="22"/>
          <w:u w:val="single"/>
        </w:rPr>
        <w:t>davatel</w:t>
      </w:r>
      <w:r w:rsidR="00824A09" w:rsidRPr="00A73905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A73905">
        <w:rPr>
          <w:rFonts w:ascii="Arial" w:hAnsi="Arial" w:cs="Arial"/>
          <w:bCs/>
          <w:sz w:val="22"/>
          <w:szCs w:val="22"/>
          <w:lang w:val="cs-CZ"/>
        </w:rPr>
        <w:tab/>
      </w:r>
      <w:r w:rsidR="00A73905" w:rsidRPr="00A73905">
        <w:rPr>
          <w:rFonts w:ascii="Arial" w:hAnsi="Arial" w:cs="Arial"/>
          <w:sz w:val="22"/>
          <w:szCs w:val="22"/>
        </w:rPr>
        <w:t>ELSO PHILIPS SERVICE spol. s r.o.</w:t>
      </w:r>
      <w:r w:rsidR="00316731" w:rsidRPr="00A73905">
        <w:rPr>
          <w:rFonts w:ascii="Arial" w:hAnsi="Arial" w:cs="Arial"/>
          <w:bCs/>
          <w:sz w:val="22"/>
          <w:szCs w:val="22"/>
        </w:rPr>
        <w:tab/>
      </w:r>
    </w:p>
    <w:p w:rsidR="00846837" w:rsidRPr="00A73905" w:rsidRDefault="00846837" w:rsidP="005E131F">
      <w:pPr>
        <w:pStyle w:val="Titre11"/>
        <w:tabs>
          <w:tab w:val="clear" w:pos="567"/>
        </w:tabs>
        <w:spacing w:after="0"/>
        <w:ind w:left="3540" w:firstLine="708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905CE0" w:rsidRPr="00A73905" w:rsidRDefault="00905CE0" w:rsidP="00A10EDD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905CE0" w:rsidRPr="00A73905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640DF5" w:rsidRPr="00A73905" w:rsidRDefault="00A10EDD" w:rsidP="002221BF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A73905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 w:rsidR="009D3FA3" w:rsidRPr="00A73905">
        <w:rPr>
          <w:rFonts w:ascii="Arial" w:hAnsi="Arial" w:cs="Arial"/>
          <w:bCs/>
          <w:sz w:val="22"/>
          <w:szCs w:val="22"/>
          <w:u w:val="single"/>
        </w:rPr>
        <w:t>realizace</w:t>
      </w:r>
      <w:r w:rsidR="00905CE0" w:rsidRPr="00A73905">
        <w:rPr>
          <w:rFonts w:ascii="Arial" w:hAnsi="Arial" w:cs="Arial"/>
          <w:bCs/>
          <w:sz w:val="22"/>
          <w:szCs w:val="22"/>
          <w:u w:val="single"/>
        </w:rPr>
        <w:t>:</w:t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7A20A9" w:rsidRPr="00A73905">
        <w:rPr>
          <w:rFonts w:ascii="Arial" w:hAnsi="Arial" w:cs="Arial"/>
          <w:bCs/>
          <w:sz w:val="22"/>
          <w:szCs w:val="22"/>
        </w:rPr>
        <w:tab/>
      </w:r>
      <w:r w:rsidR="0065600E" w:rsidRPr="00A73905">
        <w:rPr>
          <w:rFonts w:ascii="Arial" w:hAnsi="Arial" w:cs="Arial"/>
          <w:b w:val="0"/>
          <w:bCs/>
          <w:sz w:val="22"/>
          <w:szCs w:val="22"/>
        </w:rPr>
        <w:t>10</w:t>
      </w:r>
      <w:r w:rsidR="002D3048" w:rsidRPr="00A73905">
        <w:rPr>
          <w:rFonts w:ascii="Arial" w:hAnsi="Arial" w:cs="Arial"/>
          <w:b w:val="0"/>
          <w:bCs/>
          <w:sz w:val="22"/>
          <w:szCs w:val="22"/>
        </w:rPr>
        <w:t>.11.</w:t>
      </w:r>
      <w:r w:rsidR="00777E2D" w:rsidRPr="00A73905">
        <w:rPr>
          <w:rFonts w:ascii="Arial" w:hAnsi="Arial" w:cs="Arial"/>
          <w:b w:val="0"/>
          <w:bCs/>
          <w:sz w:val="22"/>
          <w:szCs w:val="22"/>
        </w:rPr>
        <w:t xml:space="preserve"> – </w:t>
      </w:r>
      <w:r w:rsidR="002D3048" w:rsidRPr="00A73905">
        <w:rPr>
          <w:rFonts w:ascii="Arial" w:hAnsi="Arial" w:cs="Arial"/>
          <w:b w:val="0"/>
          <w:bCs/>
          <w:sz w:val="22"/>
          <w:szCs w:val="22"/>
        </w:rPr>
        <w:t>15.12.</w:t>
      </w:r>
      <w:r w:rsidR="00777E2D" w:rsidRPr="00A73905">
        <w:rPr>
          <w:rFonts w:ascii="Arial" w:hAnsi="Arial" w:cs="Arial"/>
          <w:b w:val="0"/>
          <w:bCs/>
          <w:sz w:val="22"/>
          <w:szCs w:val="22"/>
        </w:rPr>
        <w:t>2016</w:t>
      </w:r>
    </w:p>
    <w:p w:rsidR="00905CE0" w:rsidRPr="00A73905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  <w:r w:rsidRPr="00A73905">
        <w:rPr>
          <w:rFonts w:ascii="Arial" w:hAnsi="Arial" w:cs="Arial"/>
          <w:bCs/>
          <w:sz w:val="22"/>
          <w:szCs w:val="22"/>
        </w:rPr>
        <w:tab/>
      </w:r>
      <w:r w:rsidRPr="00A73905">
        <w:rPr>
          <w:rFonts w:ascii="Arial" w:hAnsi="Arial" w:cs="Arial"/>
          <w:bCs/>
          <w:sz w:val="22"/>
          <w:szCs w:val="22"/>
        </w:rPr>
        <w:tab/>
      </w:r>
      <w:r w:rsidRPr="00A73905">
        <w:rPr>
          <w:rFonts w:ascii="Arial" w:hAnsi="Arial" w:cs="Arial"/>
          <w:bCs/>
          <w:sz w:val="22"/>
          <w:szCs w:val="22"/>
        </w:rPr>
        <w:tab/>
      </w:r>
    </w:p>
    <w:p w:rsidR="00905CE0" w:rsidRPr="00A73905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824A09" w:rsidRPr="00A73905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A73905" w:rsidRDefault="009D3FA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  <w:lang w:val="cs-CZ" w:eastAsia="fr-FR"/>
        </w:rPr>
      </w:pPr>
      <w:r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ÚPV</w:t>
      </w:r>
      <w:r w:rsidR="0040254D"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7A20A9" w:rsidRPr="00A73905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7A20A9" w:rsidRPr="00A73905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7A20A9" w:rsidRPr="00A73905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90677C" w:rsidRPr="00A73905">
        <w:rPr>
          <w:rFonts w:ascii="Arial" w:hAnsi="Arial" w:cs="Arial"/>
          <w:bCs/>
          <w:sz w:val="22"/>
          <w:szCs w:val="22"/>
          <w:lang w:eastAsia="fr-FR"/>
        </w:rPr>
        <w:t>Ing. Miroslav Paclík, Ph.D.</w:t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 xml:space="preserve">, </w:t>
      </w:r>
      <w:r w:rsidR="003A6730" w:rsidRPr="00116304">
        <w:rPr>
          <w:color w:val="000000"/>
        </w:rPr>
        <w:t>XXXXXXX</w:t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 xml:space="preserve">, </w:t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3A6730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8B65BD" w:rsidRPr="00A73905">
        <w:rPr>
          <w:rFonts w:ascii="Arial" w:hAnsi="Arial" w:cs="Arial"/>
          <w:bCs/>
          <w:sz w:val="22"/>
          <w:szCs w:val="22"/>
          <w:lang w:val="cs-CZ" w:eastAsia="fr-FR"/>
        </w:rPr>
        <w:tab/>
        <w:t>tel.: </w:t>
      </w:r>
      <w:r w:rsidR="00116304" w:rsidRPr="00116304">
        <w:rPr>
          <w:color w:val="000000"/>
        </w:rPr>
        <w:t>XXXXXXX</w:t>
      </w:r>
    </w:p>
    <w:p w:rsidR="00CC74A6" w:rsidRPr="00A73905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74A6" w:rsidRPr="00A73905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Pr="00A73905" w:rsidRDefault="009D3FA3" w:rsidP="009D3FA3">
      <w:pPr>
        <w:pStyle w:val="Zpat"/>
        <w:tabs>
          <w:tab w:val="left" w:pos="5954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9D3FA3" w:rsidRPr="00A73905" w:rsidRDefault="00651AD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  <w:lang w:val="cs-CZ" w:eastAsia="fr-FR"/>
        </w:rPr>
      </w:pPr>
      <w:r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Odpovědná osoba </w:t>
      </w:r>
      <w:r w:rsidR="009D3FA3"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dodavatele</w:t>
      </w:r>
      <w:r w:rsidR="0040254D"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9D3FA3" w:rsidRPr="00A73905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7A20A9" w:rsidRPr="00A73905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7A20A9" w:rsidRPr="00A73905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A73905" w:rsidRPr="00A73905">
        <w:rPr>
          <w:rFonts w:ascii="Arial" w:hAnsi="Arial" w:cs="Arial"/>
          <w:sz w:val="22"/>
          <w:szCs w:val="22"/>
        </w:rPr>
        <w:t>Ing. Otakar Chasák</w:t>
      </w:r>
      <w:r w:rsidR="00A73905" w:rsidRPr="00A73905">
        <w:rPr>
          <w:rFonts w:ascii="Arial" w:hAnsi="Arial" w:cs="Arial"/>
          <w:sz w:val="22"/>
          <w:szCs w:val="22"/>
          <w:lang w:val="cs-CZ"/>
        </w:rPr>
        <w:t xml:space="preserve">, </w:t>
      </w:r>
      <w:r w:rsidR="00116304" w:rsidRPr="00116304">
        <w:rPr>
          <w:color w:val="000000"/>
        </w:rPr>
        <w:t>XXXXXXX</w:t>
      </w:r>
    </w:p>
    <w:p w:rsidR="008F3753" w:rsidRPr="00A73905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8F3753" w:rsidRPr="00A73905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Pr="00A73905" w:rsidRDefault="009D3FA3" w:rsidP="00824A09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A73905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A73905">
        <w:rPr>
          <w:rFonts w:ascii="Arial" w:hAnsi="Arial" w:cs="Arial"/>
          <w:bCs/>
          <w:sz w:val="22"/>
          <w:szCs w:val="22"/>
          <w:u w:val="single"/>
        </w:rPr>
        <w:t>Další zastoupení</w:t>
      </w:r>
      <w:r w:rsidR="0040254D" w:rsidRPr="00A73905">
        <w:rPr>
          <w:rFonts w:ascii="Arial" w:hAnsi="Arial" w:cs="Arial"/>
          <w:bCs/>
          <w:sz w:val="22"/>
          <w:szCs w:val="22"/>
          <w:u w:val="single"/>
        </w:rPr>
        <w:t>/kontakt</w:t>
      </w:r>
      <w:r w:rsidR="009D3FA3" w:rsidRPr="00A73905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="009D3FA3" w:rsidRPr="00A73905">
        <w:rPr>
          <w:rFonts w:ascii="Arial" w:hAnsi="Arial" w:cs="Arial"/>
          <w:b w:val="0"/>
          <w:bCs/>
          <w:sz w:val="22"/>
          <w:szCs w:val="22"/>
        </w:rPr>
        <w:t>(např. stavební dozor, koordinátor BOZP apod.)</w:t>
      </w:r>
    </w:p>
    <w:p w:rsidR="009D3FA3" w:rsidRPr="00A73905" w:rsidRDefault="009D3FA3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Plán</w:t>
      </w:r>
      <w:r w:rsidR="009D3FA3" w:rsidRPr="00C230F1">
        <w:rPr>
          <w:rFonts w:ascii="Arial" w:hAnsi="Arial" w:cs="Arial"/>
          <w:szCs w:val="24"/>
          <w:u w:val="single"/>
        </w:rPr>
        <w:t>ek objektu, kde jsou prováděny práce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Poznámka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>–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 xml:space="preserve">pokud je to relevantní (podle rozsahu prací) zpracovat plánek objektu, </w:t>
      </w:r>
      <w:r w:rsidRPr="00C230F1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C230F1">
        <w:rPr>
          <w:rFonts w:ascii="Arial" w:hAnsi="Arial" w:cs="Arial"/>
          <w:b w:val="0"/>
          <w:sz w:val="22"/>
          <w:szCs w:val="22"/>
        </w:rPr>
        <w:t xml:space="preserve">mj. také </w:t>
      </w:r>
      <w:r w:rsidRPr="00C230F1">
        <w:rPr>
          <w:rFonts w:ascii="Arial" w:hAnsi="Arial" w:cs="Arial"/>
          <w:b w:val="0"/>
          <w:sz w:val="22"/>
          <w:szCs w:val="22"/>
        </w:rPr>
        <w:t>umístění</w:t>
      </w:r>
      <w:r w:rsidR="00246B42" w:rsidRPr="00C230F1">
        <w:rPr>
          <w:rFonts w:ascii="Arial" w:hAnsi="Arial" w:cs="Arial"/>
          <w:b w:val="0"/>
          <w:sz w:val="22"/>
          <w:szCs w:val="22"/>
        </w:rPr>
        <w:t>:</w:t>
      </w: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246B42" w:rsidRPr="00C230F1" w:rsidRDefault="00246B42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F319F9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Kontakty na složky IZS </w:t>
      </w:r>
    </w:p>
    <w:p w:rsidR="0066611F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(Integrovaný záchranný systém)</w:t>
      </w:r>
    </w:p>
    <w:p w:rsidR="00D04C4C" w:rsidRPr="00C230F1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C230F1">
        <w:rPr>
          <w:rFonts w:ascii="Arial" w:hAnsi="Arial" w:cs="Arial"/>
          <w:sz w:val="28"/>
          <w:szCs w:val="28"/>
        </w:rPr>
        <w:t>LINKA TÍSŇOVÉHO VOLÁNÍ</w:t>
      </w:r>
      <w:r w:rsidRPr="00C230F1">
        <w:rPr>
          <w:rFonts w:ascii="Arial" w:hAnsi="Arial" w:cs="Arial"/>
          <w:sz w:val="28"/>
          <w:szCs w:val="28"/>
        </w:rPr>
        <w:tab/>
        <w:t xml:space="preserve">: </w:t>
      </w:r>
      <w:r w:rsidRPr="00C230F1">
        <w:rPr>
          <w:rFonts w:ascii="Arial" w:hAnsi="Arial" w:cs="Arial"/>
          <w:sz w:val="28"/>
          <w:szCs w:val="28"/>
        </w:rPr>
        <w:tab/>
        <w:t>112</w:t>
      </w: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HASIČI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="0018785D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76250" cy="447675"/>
            <wp:effectExtent l="0" t="0" r="0" b="9525"/>
            <wp:docPr id="1" name="obrázek 1" descr="180px-Znak_HZS_%C4%8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Znak_HZS_%C4%8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</w:t>
      </w:r>
      <w:r w:rsidR="00824A09" w:rsidRPr="00C230F1">
        <w:rPr>
          <w:rFonts w:ascii="Arial" w:hAnsi="Arial" w:cs="Arial"/>
          <w:bCs/>
          <w:sz w:val="28"/>
          <w:szCs w:val="28"/>
        </w:rPr>
        <w:t>0</w:t>
      </w:r>
      <w:r w:rsidR="00D12C65" w:rsidRPr="00C230F1">
        <w:rPr>
          <w:rFonts w:ascii="Arial" w:hAnsi="Arial" w:cs="Arial"/>
          <w:bCs/>
          <w:sz w:val="28"/>
          <w:szCs w:val="28"/>
        </w:rPr>
        <w:t xml:space="preserve"> 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</w:p>
    <w:p w:rsidR="00197C73" w:rsidRPr="00C230F1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 xml:space="preserve">ZÁCHRANNÁ SLUŽBA </w:t>
      </w:r>
      <w:r w:rsidR="0018785D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57200" cy="438150"/>
            <wp:effectExtent l="0" t="0" r="0" b="0"/>
            <wp:docPr id="2" name="obrázek 2" descr="180px-Star_of_life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Star_of_life_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591" w:rsidRPr="00C230F1">
        <w:rPr>
          <w:rFonts w:ascii="Arial" w:hAnsi="Arial" w:cs="Arial"/>
          <w:bCs/>
          <w:sz w:val="28"/>
          <w:szCs w:val="28"/>
        </w:rPr>
        <w:tab/>
      </w:r>
      <w:r w:rsidR="00824A09" w:rsidRPr="00C230F1">
        <w:rPr>
          <w:rFonts w:ascii="Arial" w:hAnsi="Arial" w:cs="Arial"/>
          <w:bCs/>
          <w:sz w:val="28"/>
          <w:szCs w:val="28"/>
        </w:rPr>
        <w:t>:</w:t>
      </w:r>
      <w:r w:rsidR="00824A09" w:rsidRPr="00C230F1">
        <w:rPr>
          <w:rFonts w:ascii="Arial" w:hAnsi="Arial" w:cs="Arial"/>
          <w:bCs/>
          <w:sz w:val="28"/>
          <w:szCs w:val="28"/>
        </w:rPr>
        <w:tab/>
        <w:t>155</w:t>
      </w:r>
    </w:p>
    <w:p w:rsidR="0066611F" w:rsidRPr="00C230F1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901591" w:rsidRPr="00C230F1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POLICIE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="0018785D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85775" cy="485775"/>
            <wp:effectExtent l="0" t="0" r="9525" b="9525"/>
            <wp:docPr id="3" name="obrázek 3" descr="180px-P%C4%8CR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P%C4%8CR_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158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824A09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824A09" w:rsidRPr="00C230F1" w:rsidRDefault="00824A09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CC673B" w:rsidRPr="00C230F1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OKAMŽITĚ UPOZORNIT </w:t>
      </w:r>
      <w:r w:rsidR="009D3FA3" w:rsidRPr="00C230F1">
        <w:rPr>
          <w:rFonts w:ascii="Arial" w:hAnsi="Arial" w:cs="Arial"/>
          <w:szCs w:val="24"/>
          <w:u w:val="single"/>
        </w:rPr>
        <w:t>odpovědnou osobu ÚPV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:rsidR="00D429EE" w:rsidRPr="00C230F1" w:rsidRDefault="00D429EE" w:rsidP="00F319F9">
      <w:pPr>
        <w:jc w:val="center"/>
        <w:rPr>
          <w:rFonts w:ascii="Arial" w:hAnsi="Arial" w:cs="Arial"/>
          <w:b/>
          <w:u w:val="single"/>
        </w:rPr>
      </w:pPr>
    </w:p>
    <w:p w:rsidR="00D429EE" w:rsidRPr="00C230F1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230F1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 w:rsidRPr="00C230F1">
        <w:rPr>
          <w:rFonts w:ascii="Arial" w:hAnsi="Arial" w:cs="Arial"/>
          <w:b/>
          <w:bCs/>
          <w:color w:val="000000"/>
        </w:rPr>
        <w:t>.</w:t>
      </w:r>
      <w:r w:rsidRPr="00C230F1">
        <w:rPr>
          <w:rFonts w:ascii="Arial" w:hAnsi="Arial" w:cs="Arial"/>
          <w:b/>
          <w:bCs/>
          <w:color w:val="000000"/>
        </w:rPr>
        <w:t xml:space="preserve"> </w:t>
      </w:r>
    </w:p>
    <w:p w:rsidR="00E973E0" w:rsidRPr="00C230F1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u w:val="single"/>
        </w:rPr>
        <w:br w:type="page"/>
      </w:r>
      <w:r w:rsidRPr="00C230F1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:rsidR="00824A09" w:rsidRPr="00C230F1" w:rsidRDefault="00824A09" w:rsidP="00F319F9">
      <w:pPr>
        <w:jc w:val="center"/>
        <w:rPr>
          <w:rFonts w:ascii="Arial" w:hAnsi="Arial" w:cs="Arial"/>
          <w:b/>
          <w:u w:val="single"/>
        </w:rPr>
      </w:pPr>
    </w:p>
    <w:p w:rsidR="004B43FB" w:rsidRPr="00C230F1" w:rsidRDefault="00A217C9" w:rsidP="00F319F9">
      <w:pPr>
        <w:jc w:val="center"/>
        <w:rPr>
          <w:rFonts w:ascii="Arial" w:hAnsi="Arial" w:cs="Arial"/>
        </w:rPr>
      </w:pPr>
      <w:r w:rsidRPr="00C230F1">
        <w:rPr>
          <w:rFonts w:ascii="Arial" w:hAnsi="Arial" w:cs="Arial"/>
          <w:b/>
          <w:u w:val="single"/>
        </w:rPr>
        <w:t>Obecná ustanovení</w:t>
      </w:r>
    </w:p>
    <w:p w:rsidR="00901591" w:rsidRPr="00C230F1" w:rsidRDefault="00901591" w:rsidP="004B43FB">
      <w:pPr>
        <w:rPr>
          <w:rFonts w:ascii="Arial" w:hAnsi="Arial" w:cs="Arial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C230F1">
        <w:rPr>
          <w:rFonts w:ascii="Arial" w:hAnsi="Arial" w:cs="Arial"/>
          <w:b w:val="0"/>
          <w:bCs/>
          <w:sz w:val="22"/>
          <w:szCs w:val="22"/>
        </w:rPr>
        <w:t>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se musí přizpůsobit časov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C230F1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:rsidR="0040254D" w:rsidRPr="00C230F1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EA549B" w:rsidRPr="00C230F1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, aby bylo </w:t>
      </w:r>
      <w:r w:rsidR="00CE6EFA" w:rsidRPr="00C230F1">
        <w:rPr>
          <w:rFonts w:ascii="Arial" w:hAnsi="Arial" w:cs="Arial"/>
          <w:bCs/>
          <w:sz w:val="22"/>
          <w:szCs w:val="22"/>
        </w:rPr>
        <w:t>m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 w:rsidRPr="00C230F1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824A09" w:rsidRPr="00C230F1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případnými </w:t>
      </w:r>
      <w:r w:rsidRPr="00C230F1">
        <w:rPr>
          <w:rFonts w:ascii="Arial" w:hAnsi="Arial" w:cs="Arial"/>
          <w:bCs/>
          <w:sz w:val="22"/>
          <w:szCs w:val="22"/>
        </w:rPr>
        <w:t xml:space="preserve">ostatními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40254D" w:rsidRPr="00C230F1">
        <w:rPr>
          <w:rFonts w:ascii="Arial" w:hAnsi="Arial" w:cs="Arial"/>
          <w:bCs/>
          <w:sz w:val="22"/>
          <w:szCs w:val="22"/>
        </w:rPr>
        <w:t>i</w:t>
      </w:r>
      <w:r w:rsidRPr="00C230F1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musí oznámit </w:t>
      </w:r>
      <w:r w:rsidR="0040254D" w:rsidRPr="00C230F1">
        <w:rPr>
          <w:rFonts w:ascii="Arial" w:hAnsi="Arial" w:cs="Arial"/>
          <w:sz w:val="22"/>
          <w:szCs w:val="22"/>
        </w:rPr>
        <w:t>odpovědnému pracovníkovi ÚPV</w:t>
      </w:r>
      <w:r w:rsidRPr="00C230F1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>lid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C230F1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C230F1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se nutné bezpečně skladovat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ých prácí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>e.</w:t>
      </w: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 w:val="16"/>
          <w:szCs w:val="16"/>
        </w:rPr>
      </w:pP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Cs w:val="24"/>
        </w:rPr>
      </w:pPr>
    </w:p>
    <w:p w:rsidR="00A217C9" w:rsidRPr="00C230F1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C230F1">
        <w:rPr>
          <w:rFonts w:ascii="Arial" w:hAnsi="Arial" w:cs="Arial"/>
          <w:b/>
          <w:u w:val="single"/>
        </w:rPr>
        <w:t>Hygienická a bezpečnostní pravidla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 w:rsidRPr="00C230F1">
        <w:rPr>
          <w:rFonts w:ascii="Arial" w:hAnsi="Arial" w:cs="Arial"/>
          <w:bCs/>
          <w:sz w:val="22"/>
          <w:szCs w:val="22"/>
        </w:rPr>
        <w:t>ze strany ÚPV</w:t>
      </w:r>
      <w:r w:rsidRPr="00C230F1">
        <w:rPr>
          <w:rFonts w:ascii="Arial" w:hAnsi="Arial" w:cs="Arial"/>
          <w:bCs/>
          <w:sz w:val="22"/>
          <w:szCs w:val="22"/>
        </w:rPr>
        <w:t>, jimž se musí povinně přizpůsobit.</w:t>
      </w:r>
    </w:p>
    <w:p w:rsidR="00A217C9" w:rsidRPr="00C230F1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 w:rsidRPr="00C230F1">
        <w:rPr>
          <w:rFonts w:ascii="Arial" w:hAnsi="Arial" w:cs="Arial"/>
          <w:bCs/>
          <w:sz w:val="22"/>
          <w:szCs w:val="22"/>
        </w:rPr>
        <w:t>místo provádění prací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 w:rsidRPr="00C230F1">
        <w:rPr>
          <w:rFonts w:ascii="Arial" w:hAnsi="Arial" w:cs="Arial"/>
          <w:bCs/>
          <w:sz w:val="22"/>
          <w:szCs w:val="22"/>
        </w:rPr>
        <w:t xml:space="preserve"> Zařízení pro bezpečnost jednotlivce musí být ve shodě s platným nařízením. Bezpečnostní vybavení musí být schopna čelit případným rizikům</w:t>
      </w:r>
      <w:r w:rsidR="00D429EE" w:rsidRPr="00C230F1">
        <w:rPr>
          <w:rFonts w:ascii="Arial" w:hAnsi="Arial" w:cs="Arial"/>
          <w:b/>
          <w:bCs/>
          <w:sz w:val="22"/>
          <w:szCs w:val="22"/>
        </w:rPr>
        <w:t>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:rsidR="00824A09" w:rsidRPr="00C230F1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Pracovní postupy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případné </w:t>
      </w:r>
      <w:r w:rsidRPr="00C230F1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>Bezpečnostní pravidla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:rsidR="00A217C9" w:rsidRPr="00C230F1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Identifikace a klasifikace rizik</w:t>
      </w: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 w:rsidRPr="00C230F1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</w:p>
    <w:p w:rsidR="00BA4075" w:rsidRPr="00C230F1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ovi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é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ě.</w:t>
      </w: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color w:val="000000"/>
        </w:rPr>
      </w:pPr>
    </w:p>
    <w:p w:rsidR="00BA4075" w:rsidRPr="00C230F1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Dodávky a skladování materiálu na stavbě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C230F1">
        <w:rPr>
          <w:rFonts w:ascii="Arial" w:hAnsi="Arial" w:cs="Arial"/>
          <w:bCs/>
          <w:sz w:val="22"/>
          <w:szCs w:val="22"/>
        </w:rPr>
        <w:t xml:space="preserve">termíny, kdy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C230F1">
        <w:rPr>
          <w:rFonts w:ascii="Arial" w:hAnsi="Arial" w:cs="Arial"/>
          <w:bCs/>
          <w:sz w:val="22"/>
          <w:szCs w:val="22"/>
        </w:rPr>
        <w:t>vjezd</w:t>
      </w:r>
      <w:r w:rsidR="007D78A3" w:rsidRPr="00C230F1">
        <w:rPr>
          <w:rFonts w:ascii="Arial" w:hAnsi="Arial" w:cs="Arial"/>
          <w:bCs/>
          <w:sz w:val="22"/>
          <w:szCs w:val="22"/>
        </w:rPr>
        <w:t>u</w:t>
      </w:r>
      <w:r w:rsidRPr="00C230F1">
        <w:rPr>
          <w:rFonts w:ascii="Arial" w:hAnsi="Arial" w:cs="Arial"/>
          <w:bCs/>
          <w:sz w:val="22"/>
          <w:szCs w:val="22"/>
        </w:rPr>
        <w:t xml:space="preserve"> </w:t>
      </w:r>
      <w:r w:rsidR="007D78A3" w:rsidRPr="00C230F1">
        <w:rPr>
          <w:rFonts w:ascii="Arial" w:hAnsi="Arial" w:cs="Arial"/>
          <w:bCs/>
          <w:sz w:val="22"/>
          <w:szCs w:val="22"/>
        </w:rPr>
        <w:t>do objektu/na místo realizace prací</w:t>
      </w:r>
      <w:r w:rsidRPr="00C230F1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7D78A3" w:rsidRPr="00C230F1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6CDB" w:rsidRPr="00C230F1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Kvalita materiálu použitého na stavbě</w:t>
      </w:r>
    </w:p>
    <w:p w:rsidR="00A217C9" w:rsidRPr="00C230F1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 w:rsidRPr="00C230F1">
        <w:rPr>
          <w:rFonts w:ascii="Arial" w:hAnsi="Arial" w:cs="Arial"/>
          <w:bCs/>
          <w:sz w:val="22"/>
          <w:szCs w:val="22"/>
        </w:rPr>
        <w:t>zvedací, tlaková a elektrická zařízení</w:t>
      </w:r>
      <w:r w:rsidRPr="00C230F1"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 w:rsidRPr="00C230F1">
        <w:rPr>
          <w:rFonts w:ascii="Arial" w:hAnsi="Arial" w:cs="Arial"/>
          <w:bCs/>
          <w:sz w:val="22"/>
          <w:szCs w:val="22"/>
        </w:rPr>
        <w:t>prací</w:t>
      </w:r>
      <w:r w:rsidRPr="00C230F1"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e.</w:t>
      </w:r>
      <w:r w:rsidRPr="00C230F1">
        <w:rPr>
          <w:rFonts w:ascii="Arial" w:hAnsi="Arial" w:cs="Arial"/>
          <w:sz w:val="22"/>
          <w:szCs w:val="22"/>
        </w:rPr>
        <w:t xml:space="preserve"> Za </w:t>
      </w:r>
      <w:r w:rsidR="007D78A3" w:rsidRPr="00C230F1">
        <w:rPr>
          <w:rFonts w:ascii="Arial" w:hAnsi="Arial" w:cs="Arial"/>
          <w:sz w:val="22"/>
          <w:szCs w:val="22"/>
        </w:rPr>
        <w:t>výše uvedené prostředky</w:t>
      </w:r>
      <w:r w:rsidRPr="00C230F1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>.</w:t>
      </w: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se zavazuje, že bude na </w:t>
      </w:r>
      <w:r w:rsidR="007D78A3" w:rsidRPr="00C230F1">
        <w:rPr>
          <w:rFonts w:ascii="Arial" w:hAnsi="Arial" w:cs="Arial"/>
          <w:sz w:val="22"/>
          <w:szCs w:val="22"/>
        </w:rPr>
        <w:t>místě prací</w:t>
      </w:r>
      <w:r w:rsidRPr="00C230F1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Přístup k elektrickým rozvodům</w:t>
      </w:r>
      <w:r w:rsidR="00246B42" w:rsidRPr="00C230F1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:rsidR="00A217C9" w:rsidRPr="00C230F1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</w:rPr>
        <w:tab/>
      </w: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</w:t>
      </w:r>
      <w:r w:rsidR="00A217C9" w:rsidRPr="00C230F1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 w:rsidRPr="00C230F1">
        <w:rPr>
          <w:rFonts w:ascii="Arial" w:hAnsi="Arial" w:cs="Arial"/>
          <w:bCs/>
          <w:sz w:val="22"/>
          <w:szCs w:val="22"/>
        </w:rPr>
        <w:t>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7C9" w:rsidRPr="00C230F1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Manipulace</w:t>
      </w:r>
      <w:r w:rsidR="004D285C" w:rsidRPr="00C230F1">
        <w:rPr>
          <w:rFonts w:ascii="Arial" w:hAnsi="Arial" w:cs="Arial"/>
          <w:szCs w:val="24"/>
          <w:u w:val="single"/>
        </w:rPr>
        <w:t xml:space="preserve"> se stroji</w:t>
      </w:r>
    </w:p>
    <w:p w:rsidR="00A217C9" w:rsidRPr="00C230F1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 w:rsidRPr="00C230F1">
        <w:rPr>
          <w:rFonts w:ascii="Arial" w:hAnsi="Arial" w:cs="Arial"/>
          <w:szCs w:val="24"/>
          <w:u w:val="single"/>
        </w:rPr>
        <w:t>místo realizace prací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C230F1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C230F1">
        <w:rPr>
          <w:rFonts w:ascii="Arial" w:hAnsi="Arial" w:cs="Arial"/>
          <w:b w:val="0"/>
          <w:bCs/>
          <w:sz w:val="22"/>
          <w:szCs w:val="22"/>
        </w:rPr>
        <w:t>osoby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: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76CDB" w:rsidRPr="00C230F1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Ze strany ÚPV:</w:t>
      </w:r>
      <w:r w:rsidR="00D5597F" w:rsidRPr="00C230F1">
        <w:rPr>
          <w:rFonts w:ascii="Arial" w:hAnsi="Arial" w:cs="Arial"/>
          <w:bCs/>
          <w:sz w:val="22"/>
          <w:szCs w:val="22"/>
        </w:rPr>
        <w:tab/>
      </w:r>
      <w:r w:rsidR="00D5597F" w:rsidRPr="00C230F1">
        <w:rPr>
          <w:rFonts w:ascii="Arial" w:hAnsi="Arial" w:cs="Arial"/>
          <w:bCs/>
          <w:sz w:val="22"/>
          <w:szCs w:val="22"/>
        </w:rPr>
        <w:tab/>
      </w:r>
      <w:r w:rsidR="00116304" w:rsidRPr="00116304">
        <w:rPr>
          <w:color w:val="000000"/>
        </w:rPr>
        <w:t>XXXXXXX</w:t>
      </w: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Ze strany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e:</w:t>
      </w:r>
      <w:r w:rsidR="000F3720" w:rsidRPr="00C230F1">
        <w:rPr>
          <w:rFonts w:ascii="Arial" w:hAnsi="Arial" w:cs="Arial"/>
          <w:bCs/>
          <w:sz w:val="22"/>
          <w:szCs w:val="22"/>
        </w:rPr>
        <w:tab/>
      </w:r>
      <w:r w:rsidR="00633FFD" w:rsidRPr="00633FFD">
        <w:rPr>
          <w:rFonts w:ascii="Arial" w:hAnsi="Arial" w:cs="Arial"/>
          <w:b w:val="0"/>
          <w:sz w:val="22"/>
          <w:szCs w:val="22"/>
        </w:rPr>
        <w:t>Ing. Otakar Chasák</w:t>
      </w: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7D78A3" w:rsidRPr="00C230F1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C230F1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Cs/>
          <w:sz w:val="22"/>
          <w:szCs w:val="22"/>
        </w:rPr>
        <w:t>e.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106E" w:rsidRPr="00C230F1" w:rsidRDefault="0011106E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bookmarkStart w:id="1" w:name="Povinnosti_zaměstnanců_a_zaměstnavatelů_"/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B105ED" w:rsidRPr="00C230F1" w:rsidRDefault="00D429EE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br w:type="page"/>
      </w:r>
    </w:p>
    <w:p w:rsidR="0085446F" w:rsidRPr="00C230F1" w:rsidRDefault="0085446F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u w:val="single"/>
        </w:rPr>
      </w:pPr>
      <w:r w:rsidRPr="00C230F1">
        <w:rPr>
          <w:rFonts w:ascii="Arial" w:hAnsi="Arial" w:cs="Arial"/>
          <w:u w:val="single"/>
        </w:rPr>
        <w:t>Povinnosti zaměstnanců a zaměstnavatelů</w:t>
      </w:r>
      <w:r w:rsidR="001D0FE0" w:rsidRPr="00C230F1">
        <w:rPr>
          <w:rFonts w:ascii="Arial" w:hAnsi="Arial" w:cs="Arial"/>
          <w:u w:val="single"/>
        </w:rPr>
        <w:t xml:space="preserve"> </w:t>
      </w:r>
      <w:r w:rsidR="00315B02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o</w:t>
      </w:r>
      <w:r w:rsidR="00315B02" w:rsidRPr="00C230F1">
        <w:rPr>
          <w:rFonts w:ascii="Arial" w:hAnsi="Arial" w:cs="Arial"/>
          <w:u w:val="single"/>
        </w:rPr>
        <w:t xml:space="preserve"> zjištění</w:t>
      </w:r>
      <w:r w:rsidRPr="00C230F1">
        <w:rPr>
          <w:rFonts w:ascii="Arial" w:hAnsi="Arial" w:cs="Arial"/>
          <w:u w:val="single"/>
        </w:rPr>
        <w:t xml:space="preserve"> </w:t>
      </w:r>
      <w:r w:rsidR="00F319F9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racovním úrazu</w:t>
      </w:r>
      <w:bookmarkEnd w:id="1"/>
    </w:p>
    <w:p w:rsidR="0085446F" w:rsidRPr="00C230F1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Postu</w:t>
      </w:r>
      <w:r w:rsidR="00477216" w:rsidRPr="00C230F1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 w:rsidRPr="00C230F1">
        <w:rPr>
          <w:rFonts w:ascii="Arial" w:hAnsi="Arial" w:cs="Arial"/>
          <w:b/>
          <w:i/>
          <w:sz w:val="22"/>
          <w:szCs w:val="22"/>
        </w:rPr>
        <w:t xml:space="preserve"> Sb., </w:t>
      </w:r>
      <w:r w:rsidRPr="00C230F1">
        <w:rPr>
          <w:rFonts w:ascii="Arial" w:hAnsi="Arial" w:cs="Arial"/>
          <w:b/>
          <w:bCs/>
          <w:sz w:val="20"/>
          <w:szCs w:val="20"/>
        </w:rPr>
        <w:t>o způsobu evidence úrazů, hlášení a zasílání záznamu o úrazu</w:t>
      </w:r>
    </w:p>
    <w:p w:rsidR="001E184B" w:rsidRPr="00C230F1" w:rsidRDefault="001E184B" w:rsidP="001E184B">
      <w:pPr>
        <w:jc w:val="center"/>
        <w:rPr>
          <w:rFonts w:ascii="Arial" w:hAnsi="Arial" w:cs="Arial"/>
          <w:b/>
          <w:sz w:val="22"/>
        </w:rPr>
      </w:pP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zaměstnanec dodavatele je povinen bezodkladně ohlásit svůj pracovní úraz určenému zástupci ÚPV a bezprostřednímu nadřízenému svého zaměstnavatele (pokud je schopen) nebo pracovní úraz,  jehož byl svědkem a spolupracovat při jeho vyšetření, </w:t>
      </w:r>
    </w:p>
    <w:p w:rsidR="00477216" w:rsidRPr="00C230F1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spolu se zástupcem ÚPV vyšetřit  příčiny a  okolnosti vzniku pracovního úrazu za  účasti zaměstnance, pokud to zdravotní stav  zaměstnance  dovoluje,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záznam o úrazu sepíše zaměstnavatel postiženého pracovníka (dodavatele) dle příslušného právního předpisu. 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postiženého pracovníka zašle záznam o úrazu stanoveným orgánům </w:t>
      </w:r>
      <w:r w:rsidRPr="00C230F1"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zaměstnavatel (dodavatel) musí stanovit potřebná opatření  proti opakování pracovních úrazů.</w:t>
      </w:r>
    </w:p>
    <w:p w:rsidR="00477216" w:rsidRPr="00C230F1" w:rsidRDefault="00477216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RPr="00C230F1" w:rsidSect="00181192">
          <w:footerReference w:type="default" r:id="rId13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smrtelném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 hospitalizací delší než 5 dnů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:rsidR="00217ECA" w:rsidRPr="00C230F1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458"/>
        <w:gridCol w:w="3374"/>
      </w:tblGrid>
      <w:tr w:rsidR="00217ECA" w:rsidRPr="00C230F1" w:rsidTr="00E77895">
        <w:trPr>
          <w:trHeight w:hRule="exact" w:val="794"/>
        </w:trPr>
        <w:tc>
          <w:tcPr>
            <w:tcW w:w="423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C230F1" w:rsidTr="00E77895">
        <w:trPr>
          <w:trHeight w:hRule="exact" w:val="794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Místo, kde k úrazu došlo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C230F1" w:rsidTr="00E77895">
        <w:trPr>
          <w:trHeight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:rsidR="00217ECA" w:rsidRPr="00C230F1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C230F1" w:rsidTr="00E77895">
        <w:trPr>
          <w:trHeight w:hRule="exact"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NE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C230F1">
        <w:rPr>
          <w:rFonts w:ascii="Arial" w:hAnsi="Arial" w:cs="Arial"/>
          <w:b/>
        </w:rPr>
        <w:t xml:space="preserve">B. Údaje o zaměstnavateli, u kterého k úrazu došlo </w:t>
      </w:r>
      <w:r w:rsidRPr="00C230F1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5782"/>
      </w:tblGrid>
      <w:tr w:rsidR="00217ECA" w:rsidRPr="00C230F1" w:rsidTr="00E77895">
        <w:trPr>
          <w:trHeight w:hRule="exact" w:val="704"/>
        </w:trPr>
        <w:tc>
          <w:tcPr>
            <w:tcW w:w="428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jejíž rámci k úrazu došlo:</w:t>
            </w:r>
          </w:p>
        </w:tc>
      </w:tr>
      <w:tr w:rsidR="00217ECA" w:rsidRPr="00C230F1" w:rsidTr="00E77895">
        <w:trPr>
          <w:trHeight w:hRule="exact" w:val="863"/>
        </w:trPr>
        <w:tc>
          <w:tcPr>
            <w:tcW w:w="428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2693"/>
      </w:tblGrid>
      <w:tr w:rsidR="00217ECA" w:rsidRPr="00C230F1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1. Jméno, příjmení: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276"/>
        </w:trPr>
        <w:tc>
          <w:tcPr>
            <w:tcW w:w="4678" w:type="dxa"/>
            <w:gridSpan w:val="2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C230F1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647"/>
        </w:trPr>
        <w:tc>
          <w:tcPr>
            <w:tcW w:w="4678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5. Druh práce (CZ-ISCO):</w:t>
            </w:r>
          </w:p>
        </w:tc>
        <w:tc>
          <w:tcPr>
            <w:tcW w:w="5387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6. Činnost, při které k úrazu došlo </w:t>
            </w:r>
            <w:r w:rsidRPr="00C230F1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C230F1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7. Délka trvání základního pracovněprávního vztahu u zaměstnavatele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Roků:                    Měsíců:</w:t>
            </w:r>
          </w:p>
        </w:tc>
      </w:tr>
      <w:tr w:rsidR="00217ECA" w:rsidRPr="00C230F1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8. Úrazem postižený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C230F1" w:rsidTr="00117B84">
        <w:trPr>
          <w:trHeight w:val="671"/>
        </w:trPr>
        <w:tc>
          <w:tcPr>
            <w:tcW w:w="10065" w:type="dxa"/>
            <w:gridSpan w:val="4"/>
          </w:tcPr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 xml:space="preserve">9. Trvání pracovní neschopnosti následkem úrazu </w:t>
            </w:r>
            <w:r w:rsidRPr="00C230F1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                   do:                                            Celkem kalendářních dnů:</w:t>
            </w:r>
          </w:p>
        </w:tc>
      </w:tr>
    </w:tbl>
    <w:p w:rsidR="001E184B" w:rsidRPr="00C230F1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E0E9A" w:rsidRPr="00C230F1" w:rsidRDefault="005E0E9A" w:rsidP="005E0E9A">
      <w:pPr>
        <w:ind w:left="284" w:right="992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C230F1" w:rsidTr="0065358A">
        <w:tc>
          <w:tcPr>
            <w:tcW w:w="5493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1. Datum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Hodina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C230F1" w:rsidTr="0065358A">
        <w:trPr>
          <w:trHeight w:hRule="exact" w:val="582"/>
        </w:trPr>
        <w:tc>
          <w:tcPr>
            <w:tcW w:w="4218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Druh zranění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4. Zraněná část těla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hRule="exact" w:val="576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C230F1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6. Co bylo zdrojem úrazu?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lidé, zvířata nebo přírodní živly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elektrická energie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jiný blíže nespecifikovaný zdroj</w:t>
            </w:r>
          </w:p>
          <w:p w:rsidR="005E0E9A" w:rsidRPr="00C230F1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7. Proč k úrazu došlo? (Příčiny)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špatné nebo nedostatečné vyhodnocení rizika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C230F1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val="980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8. Byla u úrazem postiženého zaměstnance provedena kontrola přítomnosti alkoholu nebo jiných návykových látek, a pokud ano, s jakým výsledkem?</w:t>
            </w:r>
          </w:p>
          <w:p w:rsidR="005E0E9A" w:rsidRPr="00C230F1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Ano: </w:t>
            </w:r>
            <w:r w:rsidRPr="00C230F1">
              <w:rPr>
                <w:rFonts w:ascii="Arial" w:hAnsi="Arial" w:cs="Arial"/>
                <w:sz w:val="18"/>
              </w:rPr>
              <w:tab/>
              <w:t xml:space="preserve">Ne: </w:t>
            </w:r>
            <w:r w:rsidRPr="00C230F1"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C230F1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10. Uveďte, jaké předpisy byly v souvislosti s úrazem porušeny a kým, pokud bylo jejich porušení do doby odeslání záznamu zjištěno. </w:t>
            </w:r>
            <w:r w:rsidRPr="00C230F1">
              <w:rPr>
                <w:rFonts w:ascii="Arial" w:hAnsi="Arial" w:cs="Arial"/>
                <w:i/>
                <w:sz w:val="18"/>
              </w:rPr>
              <w:t xml:space="preserve">(V případě potřeby přidejte další list.) </w:t>
            </w:r>
            <w:r w:rsidRPr="00C230F1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C45E58" w:rsidRPr="00C230F1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:rsidR="00C45E58" w:rsidRPr="00C230F1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</w:p>
    <w:p w:rsidR="005E0E9A" w:rsidRPr="00C230F1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E. Vyjádření úrazem postiženého zaměstnance a svědků úrazu,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0E9A" w:rsidRPr="00C230F1" w:rsidTr="003274C0">
        <w:tc>
          <w:tcPr>
            <w:tcW w:w="992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5141"/>
      </w:tblGrid>
      <w:tr w:rsidR="005E0E9A" w:rsidRPr="00C230F1" w:rsidTr="003274C0">
        <w:trPr>
          <w:trHeight w:val="680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 xml:space="preserve">Zástupce zaměstnanců pro bezpečnost a ochranu zdraví při práci 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odborovou organizaci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1332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zaměstnavatele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:rsidR="005E0E9A" w:rsidRPr="00C230F1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a)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b)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zaměstnavatel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c)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d)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C230F1">
        <w:rPr>
          <w:rFonts w:ascii="Arial" w:hAnsi="Arial" w:cs="Arial"/>
          <w:sz w:val="18"/>
          <w:vertAlign w:val="superscript"/>
        </w:rPr>
        <w:t>e)</w:t>
      </w:r>
      <w:r w:rsidRPr="00C230F1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f)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trojmístný číselný kód klasifikace zraněné části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g)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dvojmístný číselný kód klasifikace pro zraněnou část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h)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:rsidR="005E0E9A" w:rsidRPr="00C230F1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i)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 w:rsidRPr="00C230F1">
        <w:rPr>
          <w:rFonts w:ascii="Arial" w:hAnsi="Arial" w:cs="Arial"/>
          <w:sz w:val="18"/>
        </w:rPr>
        <w:t>.</w:t>
      </w:r>
    </w:p>
    <w:p w:rsidR="005E0E9A" w:rsidRPr="00C230F1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D668D" w:rsidRPr="00C230F1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 – hlášení změn</w:t>
      </w: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zaměstnavateli, který 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C230F1" w:rsidTr="002F5F50">
        <w:trPr>
          <w:trHeight w:hRule="exact" w:val="484"/>
        </w:trPr>
        <w:tc>
          <w:tcPr>
            <w:tcW w:w="4957" w:type="dxa"/>
            <w:vMerge w:val="restart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C230F1" w:rsidTr="002F5F50">
        <w:trPr>
          <w:trHeight w:val="826"/>
        </w:trPr>
        <w:tc>
          <w:tcPr>
            <w:tcW w:w="4957" w:type="dxa"/>
            <w:vMerge/>
          </w:tcPr>
          <w:p w:rsidR="00077E26" w:rsidRPr="00C230F1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Adresa: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úrazem postiženém zaměstnanci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C230F1" w:rsidTr="002F5F50">
        <w:trPr>
          <w:trHeight w:val="390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C230F1" w:rsidTr="002F5F50">
        <w:trPr>
          <w:trHeight w:val="397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077E26" w:rsidRPr="00C230F1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dnů:</w:t>
            </w:r>
          </w:p>
        </w:tc>
      </w:tr>
      <w:tr w:rsidR="00077E26" w:rsidRPr="00C230F1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C 8 - Trvání dočasné pracovní neschopnosti následkem úrazu: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do:                                  celkem kalendářních dnů: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1243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077E26" w:rsidRPr="00C230F1" w:rsidTr="002F5F50">
        <w:trPr>
          <w:trHeight w:val="666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7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82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Datum, jméno, příjmení a podpis</w:t>
            </w:r>
          </w:p>
        </w:tc>
      </w:tr>
      <w:tr w:rsidR="00077E26" w:rsidRPr="00C230F1" w:rsidTr="002F5F50">
        <w:trPr>
          <w:trHeight w:val="83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 a podpis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077E26" w:rsidRPr="00C230F1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b) </w:t>
      </w:r>
      <w:r w:rsidRPr="00C230F1">
        <w:rPr>
          <w:rFonts w:ascii="Arial" w:hAnsi="Arial" w:cs="Arial"/>
          <w:sz w:val="18"/>
        </w:rPr>
        <w:t>Vyplní zaměstnavatel</w:t>
      </w: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sz w:val="28"/>
          <w:szCs w:val="28"/>
          <w:u w:val="single"/>
        </w:rPr>
        <w:t>Část 2 – Environment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16"/>
          <w:szCs w:val="16"/>
        </w:rPr>
      </w:pPr>
    </w:p>
    <w:p w:rsidR="00077E26" w:rsidRPr="00C230F1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C230F1">
        <w:rPr>
          <w:rFonts w:ascii="Arial" w:hAnsi="Arial" w:cs="Arial"/>
          <w:b/>
          <w:bCs/>
          <w:u w:val="single"/>
        </w:rPr>
        <w:t>Povinnosti dodavatele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životní prostředí a který je v souladu se zákonem č.185/2001 Sb., o odpadech a se zvláštními právními předpisy a je v souladu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je povinen omezovat a předcházet znečišťování ovzduší a snižovat množství jím vypouštěných znečišťujících látek stanovených podle zákona č.201/2012 Sb., o ochraně ovzduší a prováděcích právních předpisů.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po povinen plnit podmínky stanovené zákonem č.254/2001 Sb., vodní zákon pokud se na něj vztahují.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je povinen dodržovat specifické podmínky stanovené stavebním povolením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projektovou dokumentací a to v oblasti hluku a vibrací.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C230F1">
        <w:rPr>
          <w:rFonts w:ascii="Arial" w:hAnsi="Arial" w:cs="Arial"/>
          <w:sz w:val="22"/>
          <w:szCs w:val="22"/>
        </w:rPr>
        <w:t xml:space="preserve"> </w:t>
      </w: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C230F1">
        <w:rPr>
          <w:rFonts w:ascii="Arial" w:eastAsia="Calibri" w:hAnsi="Arial" w:cs="Arial"/>
          <w:b w:val="0"/>
          <w:sz w:val="22"/>
          <w:szCs w:val="22"/>
          <w:lang w:eastAsia="en-US"/>
        </w:rPr>
        <w:t>Každý dodavatel před započetím svých činností na stavbě nahlásí, jaké odpady a v jakém množství bude produkovat během své činnosti a zda bude částečně či zcela využívat systému odstraňování odpadů stanoveným zadavatelem nebo sám na svoje náklady. Pokud v hlášení uvede dodavatel nebezpečné odpady, budou součástí hlášení kopie úředních souhlasů k nakládání s nebezpečným odpadem.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na vlastní náklady, dodá v nejbližší možné době záznam o likvidaci, který bude obsahovat údaje o dodavateli, oprávněnou společnost, které byl odpad předán, množství, druh odpadu a katalogové číslo dle katalogu odpadů. Tato povinnost se vztahuje i na dodavatele produkující odpad, který není součástí systému sběru separovaného odpadu stanoveným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 případě, že bude dodavatel produkovat nebezpečné odpady, zajistí sám na svoje náklady sběrné nádoby, které budou označeny katalogovým číslem nebezpečného odpadu, názvem odpadu a osobou oprávněnou jednat za dodavatele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vybaveny identifikačními listy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Likvidaci nebezpečných odpadů v souladu se zákonem potvrzuje příslušný dodavatel dodáním kopií evidenčních listů přepravy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Dodavatel je povinen produkovaný odpad třídit a umísťovat do sběrných nádob k tomu určených zadavatelem a to v případě že si sám nezjišťuje jejich odvoz a likvidaci.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používat mobilní zdroje znečišťování (dopravní prostředky) je povinen na vyžádání zadavatele předložit záznamy z měření emisí a STK.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technickými podmínkami stanovených v manuálu dieselagregátu. Používání těchto zařízení bude v souladu s povinnostmi stanovených zákonem č. 201/2012 Sb., o ochraně ovzduší a navazující legislativy. Při havárii DA viz povinnosti v oblasti ochrany vody.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nebude v objektu zadavatele používat závadné látky (nafta, motorové oleje) stanovené vodním zákonem v rozsahu: v zařízení s celkovým množstvím v něm obsažených závadných látek do 1000 l včetně nebo v přenosných, k tomu určených, obalech s celkovým množstvím v nich obsažených závadných látek do 2000 l včetně. V případě že, bude použití závadných látek nezbytné ve výše uvedeném množství, dotčený dodavatel vypracuje ve havarijní plán úniku závadných látek.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během své činnosti používat nebo skladovat závadné látky, budou tyto činnosti zajištěny, tak aby v případě havárie nedošlo k úniku těchto látek do půdy (použití záchytných van). Dodavatel používající závadné látky bude mít k dispozici sorpční sadu pro sanaci v případě úniků nebo úkapů závadných látek. V případě úniků nebo úkapů závadných látek zajistí dodavatel sanaci a odpad ze sanace zlikviduje jako nebezpečný. V případě havarijního úniku tj. do vody nebo kanalizačního řádu, zajistí sanaci v souladu s Vodním zákonem a informuje zástupce zadavatele o provedení.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bude nakládat s chemickými látkami v souladu se zákonem č. 350/2011 Sb., o chemických látkách a chemických směsích a se zákonem č, 258/200 Sb., o ochraně veřejného zdraví. Používané chemické látky budou vždy v řádně označených obalech, dodavatel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Výše uvedené povinnosti je oprávněn průběžně kontrolovat vedoucí oddělení technických služeb. V případě dodavatele, na kterého se vztahují dokumentační povinnosti z výše uvedených povinností, je dodavatel povinen ve stanovených lhůtách zpracovat a předat vedoucímu oddělení technických služeb příslušnou dokumentaci.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zadavatel obdrží sankce od státní správy a to za nedodržení stanovených povinností dodavatelem, vyhrazuje si zadavatel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Dodavatel, pro kterého budou provádět na základě smlouvy činnosti další dodavatelé, se kterými nemá uzavřen smluvní vztah zadavatel, zajistí plnění povinností dodavateli stanovených tímto manuálem. V případě neshody s tímto manuálem bude za její odstranění a následky odpovědný v plném rozsahu dodavatel, který má uzavřený smluvní závazek se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Tento manuál vychází z povinností stanovených legislativou životního prostředí České Republiky. Před započetím činností dodavatele budou s tímto manuálem seznámeny všechny osoby pracující pro dodavatele, které budou provádět činnosti v rámci objektu ÚPV. Seznámení bude doloženo prezenční listinou obsahující seznam všech osob dodavatele s jejich podpisy potvrzující seznámení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  <w:u w:val="single"/>
        </w:rPr>
        <w:t>Dodatky a připomínky</w:t>
      </w:r>
      <w:r w:rsidRPr="00C230F1">
        <w:rPr>
          <w:rFonts w:ascii="Arial" w:hAnsi="Arial" w:cs="Arial"/>
          <w:b/>
          <w:bCs/>
        </w:rPr>
        <w:t>: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  <w:r w:rsidRPr="00C230F1">
        <w:rPr>
          <w:rFonts w:ascii="Arial" w:hAnsi="Arial" w:cs="Arial"/>
          <w:b/>
          <w:sz w:val="22"/>
          <w:szCs w:val="22"/>
        </w:rPr>
        <w:lastRenderedPageBreak/>
        <w:t>Dodavatel se svým podpisem se zavazuje ke stanoveným povinnostem tohoto manuálu.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C230F1">
        <w:rPr>
          <w:rFonts w:ascii="Arial" w:hAnsi="Arial" w:cs="Arial"/>
          <w:sz w:val="22"/>
          <w:szCs w:val="22"/>
          <w:u w:val="single"/>
        </w:rPr>
        <w:t>Prezenční listina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Pro zakázku: 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Podpisem v této listině stvrzuji, že jsem seznámen s manuálem pro dodavatele.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0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077E26" w:rsidRPr="00C230F1" w:rsidRDefault="00077E26" w:rsidP="00077E26">
      <w:pPr>
        <w:pStyle w:val="Textvysvtlivek"/>
        <w:spacing w:before="120"/>
        <w:ind w:left="142" w:hanging="142"/>
        <w:jc w:val="both"/>
        <w:rPr>
          <w:rFonts w:ascii="Arial" w:hAnsi="Arial" w:cs="Arial"/>
        </w:rPr>
      </w:pPr>
    </w:p>
    <w:p w:rsidR="00077E26" w:rsidRPr="00C230F1" w:rsidRDefault="00077E26" w:rsidP="00077E26">
      <w:pPr>
        <w:pStyle w:val="Textvysvtlivek"/>
        <w:spacing w:before="120"/>
        <w:jc w:val="both"/>
        <w:rPr>
          <w:rFonts w:ascii="Arial" w:hAnsi="Arial" w:cs="Arial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077E26" w:rsidRPr="00C230F1" w:rsidSect="00905CE0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4A" w:rsidRDefault="00D4134A">
      <w:r>
        <w:separator/>
      </w:r>
    </w:p>
  </w:endnote>
  <w:endnote w:type="continuationSeparator" w:id="0">
    <w:p w:rsidR="00D4134A" w:rsidRDefault="00D4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13" w:rsidRDefault="005955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85D">
      <w:rPr>
        <w:noProof/>
      </w:rPr>
      <w:t>1</w:t>
    </w:r>
    <w:r>
      <w:fldChar w:fldCharType="end"/>
    </w:r>
  </w:p>
  <w:p w:rsidR="00595513" w:rsidRDefault="005955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4A" w:rsidRDefault="00D4134A">
      <w:r>
        <w:separator/>
      </w:r>
    </w:p>
  </w:footnote>
  <w:footnote w:type="continuationSeparator" w:id="0">
    <w:p w:rsidR="00D4134A" w:rsidRDefault="00D4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1"/>
      <w:gridCol w:w="2494"/>
    </w:tblGrid>
    <w:tr w:rsidR="00595513" w:rsidTr="007C39FD">
      <w:trPr>
        <w:trHeight w:val="1000"/>
      </w:trPr>
      <w:tc>
        <w:tcPr>
          <w:tcW w:w="6771" w:type="dxa"/>
        </w:tcPr>
        <w:p w:rsidR="00595513" w:rsidRPr="007C39FD" w:rsidRDefault="00595513" w:rsidP="00846837">
          <w:pPr>
            <w:pStyle w:val="Zhlav"/>
            <w:rPr>
              <w:sz w:val="20"/>
              <w:szCs w:val="20"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94" w:type="dxa"/>
        </w:tcPr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8785D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8785D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:rsidR="00595513" w:rsidRPr="007C39FD" w:rsidRDefault="00595513" w:rsidP="00845F18">
          <w:pPr>
            <w:pStyle w:val="Zhlav"/>
            <w:rPr>
              <w:sz w:val="20"/>
              <w:szCs w:val="20"/>
            </w:rPr>
          </w:pPr>
        </w:p>
      </w:tc>
    </w:tr>
  </w:tbl>
  <w:p w:rsidR="00595513" w:rsidRDefault="005955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15"/>
  </w:num>
  <w:num w:numId="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6"/>
  </w:num>
  <w:num w:numId="18">
    <w:abstractNumId w:val="0"/>
  </w:num>
  <w:num w:numId="19">
    <w:abstractNumId w:val="2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37"/>
    <w:rsid w:val="00011FF9"/>
    <w:rsid w:val="00015AF6"/>
    <w:rsid w:val="000211F8"/>
    <w:rsid w:val="0002455F"/>
    <w:rsid w:val="000273AB"/>
    <w:rsid w:val="0002786F"/>
    <w:rsid w:val="00030F29"/>
    <w:rsid w:val="000603AA"/>
    <w:rsid w:val="00060947"/>
    <w:rsid w:val="0007147F"/>
    <w:rsid w:val="00071EBB"/>
    <w:rsid w:val="00074F41"/>
    <w:rsid w:val="00077E26"/>
    <w:rsid w:val="00080502"/>
    <w:rsid w:val="000A32DC"/>
    <w:rsid w:val="000A40EE"/>
    <w:rsid w:val="000B1D0A"/>
    <w:rsid w:val="000B7F35"/>
    <w:rsid w:val="000C3D2C"/>
    <w:rsid w:val="000E3430"/>
    <w:rsid w:val="000F099C"/>
    <w:rsid w:val="000F3720"/>
    <w:rsid w:val="00104F82"/>
    <w:rsid w:val="0011106E"/>
    <w:rsid w:val="00112AEC"/>
    <w:rsid w:val="00116304"/>
    <w:rsid w:val="00117B84"/>
    <w:rsid w:val="00124FFA"/>
    <w:rsid w:val="001376A6"/>
    <w:rsid w:val="00165946"/>
    <w:rsid w:val="00166C7B"/>
    <w:rsid w:val="00181192"/>
    <w:rsid w:val="0018785D"/>
    <w:rsid w:val="001937D8"/>
    <w:rsid w:val="00197C73"/>
    <w:rsid w:val="001A4579"/>
    <w:rsid w:val="001A5D34"/>
    <w:rsid w:val="001B7AD3"/>
    <w:rsid w:val="001D0FE0"/>
    <w:rsid w:val="001D2971"/>
    <w:rsid w:val="001E184B"/>
    <w:rsid w:val="001E7F23"/>
    <w:rsid w:val="002137CD"/>
    <w:rsid w:val="00217ECA"/>
    <w:rsid w:val="002221BF"/>
    <w:rsid w:val="00222784"/>
    <w:rsid w:val="002231B4"/>
    <w:rsid w:val="00246B42"/>
    <w:rsid w:val="00267747"/>
    <w:rsid w:val="00271152"/>
    <w:rsid w:val="002A4E32"/>
    <w:rsid w:val="002A6079"/>
    <w:rsid w:val="002B5B5F"/>
    <w:rsid w:val="002C3A98"/>
    <w:rsid w:val="002D3048"/>
    <w:rsid w:val="002E687B"/>
    <w:rsid w:val="002F41DB"/>
    <w:rsid w:val="002F5F50"/>
    <w:rsid w:val="00315B02"/>
    <w:rsid w:val="00316731"/>
    <w:rsid w:val="00317AD1"/>
    <w:rsid w:val="00325106"/>
    <w:rsid w:val="003274C0"/>
    <w:rsid w:val="00361B31"/>
    <w:rsid w:val="00373214"/>
    <w:rsid w:val="00385045"/>
    <w:rsid w:val="003A6730"/>
    <w:rsid w:val="003B683D"/>
    <w:rsid w:val="003B729D"/>
    <w:rsid w:val="003C7CE2"/>
    <w:rsid w:val="003D3C81"/>
    <w:rsid w:val="0040254D"/>
    <w:rsid w:val="00407AE6"/>
    <w:rsid w:val="004110E1"/>
    <w:rsid w:val="00411FBF"/>
    <w:rsid w:val="0041235E"/>
    <w:rsid w:val="0042512F"/>
    <w:rsid w:val="004348AD"/>
    <w:rsid w:val="004476C5"/>
    <w:rsid w:val="0045067D"/>
    <w:rsid w:val="004509E4"/>
    <w:rsid w:val="00475E3B"/>
    <w:rsid w:val="00477216"/>
    <w:rsid w:val="004A2981"/>
    <w:rsid w:val="004A6C20"/>
    <w:rsid w:val="004B43FB"/>
    <w:rsid w:val="004C29E5"/>
    <w:rsid w:val="004C48A7"/>
    <w:rsid w:val="004D285C"/>
    <w:rsid w:val="004F6E6A"/>
    <w:rsid w:val="005032A3"/>
    <w:rsid w:val="00504F89"/>
    <w:rsid w:val="005120C7"/>
    <w:rsid w:val="005161BC"/>
    <w:rsid w:val="00516411"/>
    <w:rsid w:val="005412E7"/>
    <w:rsid w:val="0055249C"/>
    <w:rsid w:val="00581ACC"/>
    <w:rsid w:val="00581CB0"/>
    <w:rsid w:val="00582C89"/>
    <w:rsid w:val="00591398"/>
    <w:rsid w:val="00595513"/>
    <w:rsid w:val="005B5BF4"/>
    <w:rsid w:val="005D5F0B"/>
    <w:rsid w:val="005D668D"/>
    <w:rsid w:val="005D7E65"/>
    <w:rsid w:val="005E0E9A"/>
    <w:rsid w:val="005E131F"/>
    <w:rsid w:val="005F1EEB"/>
    <w:rsid w:val="00605779"/>
    <w:rsid w:val="00633FFD"/>
    <w:rsid w:val="00640DF5"/>
    <w:rsid w:val="006465C3"/>
    <w:rsid w:val="00647E39"/>
    <w:rsid w:val="00651AD3"/>
    <w:rsid w:val="0065358A"/>
    <w:rsid w:val="0065600E"/>
    <w:rsid w:val="0066611F"/>
    <w:rsid w:val="006746B5"/>
    <w:rsid w:val="00676CDB"/>
    <w:rsid w:val="00676DE5"/>
    <w:rsid w:val="006816D3"/>
    <w:rsid w:val="00695A94"/>
    <w:rsid w:val="006961DD"/>
    <w:rsid w:val="006A02C4"/>
    <w:rsid w:val="006A50FC"/>
    <w:rsid w:val="006B66FE"/>
    <w:rsid w:val="006D6908"/>
    <w:rsid w:val="006E3B85"/>
    <w:rsid w:val="00700878"/>
    <w:rsid w:val="007064D7"/>
    <w:rsid w:val="007222AB"/>
    <w:rsid w:val="007327A8"/>
    <w:rsid w:val="007343A0"/>
    <w:rsid w:val="00747764"/>
    <w:rsid w:val="007633DF"/>
    <w:rsid w:val="00777E2D"/>
    <w:rsid w:val="00786E16"/>
    <w:rsid w:val="007A05E7"/>
    <w:rsid w:val="007A20A9"/>
    <w:rsid w:val="007A3BC0"/>
    <w:rsid w:val="007B261D"/>
    <w:rsid w:val="007C39FD"/>
    <w:rsid w:val="007D78A3"/>
    <w:rsid w:val="007E5003"/>
    <w:rsid w:val="007F1288"/>
    <w:rsid w:val="007F1716"/>
    <w:rsid w:val="008151B5"/>
    <w:rsid w:val="00821C95"/>
    <w:rsid w:val="00821D0E"/>
    <w:rsid w:val="00824A09"/>
    <w:rsid w:val="00824A0B"/>
    <w:rsid w:val="00827428"/>
    <w:rsid w:val="00835D4D"/>
    <w:rsid w:val="0084044D"/>
    <w:rsid w:val="00845F18"/>
    <w:rsid w:val="00846837"/>
    <w:rsid w:val="00850F75"/>
    <w:rsid w:val="00852064"/>
    <w:rsid w:val="00852982"/>
    <w:rsid w:val="0085446F"/>
    <w:rsid w:val="00856857"/>
    <w:rsid w:val="00860B27"/>
    <w:rsid w:val="00867AFC"/>
    <w:rsid w:val="0087604F"/>
    <w:rsid w:val="00882758"/>
    <w:rsid w:val="00885E9C"/>
    <w:rsid w:val="008A353D"/>
    <w:rsid w:val="008B65BD"/>
    <w:rsid w:val="008E26E5"/>
    <w:rsid w:val="008F3753"/>
    <w:rsid w:val="008F3835"/>
    <w:rsid w:val="00901591"/>
    <w:rsid w:val="00905CE0"/>
    <w:rsid w:val="0090677C"/>
    <w:rsid w:val="009115E6"/>
    <w:rsid w:val="009120C3"/>
    <w:rsid w:val="0092006B"/>
    <w:rsid w:val="00940999"/>
    <w:rsid w:val="009421DB"/>
    <w:rsid w:val="00947A93"/>
    <w:rsid w:val="00956A61"/>
    <w:rsid w:val="00970580"/>
    <w:rsid w:val="009A582B"/>
    <w:rsid w:val="009B0189"/>
    <w:rsid w:val="009B049D"/>
    <w:rsid w:val="009D0515"/>
    <w:rsid w:val="009D1B4C"/>
    <w:rsid w:val="009D3FA3"/>
    <w:rsid w:val="009D4897"/>
    <w:rsid w:val="009D69A9"/>
    <w:rsid w:val="009E20A4"/>
    <w:rsid w:val="009F7CBE"/>
    <w:rsid w:val="00A02577"/>
    <w:rsid w:val="00A049E0"/>
    <w:rsid w:val="00A10EDD"/>
    <w:rsid w:val="00A14B91"/>
    <w:rsid w:val="00A217C9"/>
    <w:rsid w:val="00A27EDF"/>
    <w:rsid w:val="00A35D2C"/>
    <w:rsid w:val="00A52279"/>
    <w:rsid w:val="00A57159"/>
    <w:rsid w:val="00A73905"/>
    <w:rsid w:val="00A869D5"/>
    <w:rsid w:val="00A97F51"/>
    <w:rsid w:val="00AA637E"/>
    <w:rsid w:val="00AE3ADD"/>
    <w:rsid w:val="00AF342C"/>
    <w:rsid w:val="00AF3A66"/>
    <w:rsid w:val="00B074CB"/>
    <w:rsid w:val="00B105ED"/>
    <w:rsid w:val="00B1772D"/>
    <w:rsid w:val="00B21032"/>
    <w:rsid w:val="00B32B25"/>
    <w:rsid w:val="00B36395"/>
    <w:rsid w:val="00B67038"/>
    <w:rsid w:val="00BA0949"/>
    <w:rsid w:val="00BA4075"/>
    <w:rsid w:val="00BF78E7"/>
    <w:rsid w:val="00C02D9B"/>
    <w:rsid w:val="00C12554"/>
    <w:rsid w:val="00C230F1"/>
    <w:rsid w:val="00C33831"/>
    <w:rsid w:val="00C356F9"/>
    <w:rsid w:val="00C45E58"/>
    <w:rsid w:val="00C47CA0"/>
    <w:rsid w:val="00C529FE"/>
    <w:rsid w:val="00C71741"/>
    <w:rsid w:val="00C77923"/>
    <w:rsid w:val="00C80FCA"/>
    <w:rsid w:val="00C95AC4"/>
    <w:rsid w:val="00C96399"/>
    <w:rsid w:val="00CA76BC"/>
    <w:rsid w:val="00CC3C2B"/>
    <w:rsid w:val="00CC4303"/>
    <w:rsid w:val="00CC52CD"/>
    <w:rsid w:val="00CC673B"/>
    <w:rsid w:val="00CC74A6"/>
    <w:rsid w:val="00CD6BB2"/>
    <w:rsid w:val="00CE0725"/>
    <w:rsid w:val="00CE6EFA"/>
    <w:rsid w:val="00CE7D3B"/>
    <w:rsid w:val="00CF13AD"/>
    <w:rsid w:val="00CF1802"/>
    <w:rsid w:val="00D04C4C"/>
    <w:rsid w:val="00D12C65"/>
    <w:rsid w:val="00D27005"/>
    <w:rsid w:val="00D35A89"/>
    <w:rsid w:val="00D36451"/>
    <w:rsid w:val="00D36F18"/>
    <w:rsid w:val="00D4134A"/>
    <w:rsid w:val="00D429EE"/>
    <w:rsid w:val="00D5597F"/>
    <w:rsid w:val="00D87672"/>
    <w:rsid w:val="00DC2BED"/>
    <w:rsid w:val="00DC37BC"/>
    <w:rsid w:val="00DF7AB0"/>
    <w:rsid w:val="00E162F8"/>
    <w:rsid w:val="00E27524"/>
    <w:rsid w:val="00E36A2B"/>
    <w:rsid w:val="00E43853"/>
    <w:rsid w:val="00E51020"/>
    <w:rsid w:val="00E52712"/>
    <w:rsid w:val="00E609DC"/>
    <w:rsid w:val="00E77895"/>
    <w:rsid w:val="00E85CEB"/>
    <w:rsid w:val="00E9508B"/>
    <w:rsid w:val="00E973E0"/>
    <w:rsid w:val="00EA549B"/>
    <w:rsid w:val="00EB5116"/>
    <w:rsid w:val="00ED2BC5"/>
    <w:rsid w:val="00ED50D8"/>
    <w:rsid w:val="00EE418D"/>
    <w:rsid w:val="00EE68FF"/>
    <w:rsid w:val="00F30ACC"/>
    <w:rsid w:val="00F319F9"/>
    <w:rsid w:val="00F41AEB"/>
    <w:rsid w:val="00F57C6C"/>
    <w:rsid w:val="00F60713"/>
    <w:rsid w:val="00F73115"/>
    <w:rsid w:val="00F73366"/>
    <w:rsid w:val="00F81A9E"/>
    <w:rsid w:val="00F90D8E"/>
    <w:rsid w:val="00FB5B2B"/>
    <w:rsid w:val="00FF311B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90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90677C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90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90677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434F-00E3-40EA-9E6C-BA7178C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3320</Words>
  <Characters>19593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Manuál pro subdodavatele</vt:lpstr>
      <vt:lpstr>Manuál pro subdodavatele</vt:lpstr>
    </vt:vector>
  </TitlesOfParts>
  <Company>HEXPERT a.s.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pro subdodavatele</dc:title>
  <dc:creator>Jan Špaček</dc:creator>
  <cp:lastModifiedBy>Vojtěch Skalník</cp:lastModifiedBy>
  <cp:revision>2</cp:revision>
  <cp:lastPrinted>2016-11-07T14:23:00Z</cp:lastPrinted>
  <dcterms:created xsi:type="dcterms:W3CDTF">2016-11-15T09:34:00Z</dcterms:created>
  <dcterms:modified xsi:type="dcterms:W3CDTF">2016-11-15T09:34:00Z</dcterms:modified>
</cp:coreProperties>
</file>