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06" w:rsidRPr="00C1136B" w:rsidRDefault="00042306">
      <w:pPr>
        <w:pStyle w:val="pevnedaje"/>
        <w:rPr>
          <w:sz w:val="20"/>
        </w:rPr>
      </w:pPr>
    </w:p>
    <w:p w:rsidR="00470BCC" w:rsidRPr="00C1136B" w:rsidRDefault="00CC303E" w:rsidP="00470BCC">
      <w:pPr>
        <w:jc w:val="center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SMLOUVA O DODÁVCE TEPELNÉ ENERGIE</w:t>
      </w:r>
    </w:p>
    <w:p w:rsidR="00470BCC" w:rsidRPr="00C1136B" w:rsidRDefault="00470BCC" w:rsidP="00470BCC">
      <w:pPr>
        <w:jc w:val="center"/>
        <w:rPr>
          <w:rFonts w:cs="Arial"/>
          <w:sz w:val="20"/>
        </w:rPr>
      </w:pPr>
      <w:r w:rsidRPr="00C1136B">
        <w:rPr>
          <w:rFonts w:cs="Arial"/>
          <w:sz w:val="20"/>
        </w:rPr>
        <w:t>podle § 76 odst. 3 zákona č. 458/2000</w:t>
      </w:r>
      <w:r w:rsidR="0072604C">
        <w:rPr>
          <w:rFonts w:cs="Arial"/>
          <w:sz w:val="20"/>
        </w:rPr>
        <w:t xml:space="preserve"> </w:t>
      </w:r>
      <w:r w:rsidRPr="00C1136B">
        <w:rPr>
          <w:rFonts w:cs="Arial"/>
          <w:sz w:val="20"/>
        </w:rPr>
        <w:t xml:space="preserve">Sb., </w:t>
      </w:r>
      <w:r w:rsidR="00992BC2">
        <w:rPr>
          <w:rFonts w:cs="Arial"/>
          <w:sz w:val="20"/>
        </w:rPr>
        <w:t>E</w:t>
      </w:r>
      <w:r w:rsidRPr="00C1136B">
        <w:rPr>
          <w:rFonts w:cs="Arial"/>
          <w:sz w:val="20"/>
        </w:rPr>
        <w:t>nergetický zákon</w:t>
      </w:r>
    </w:p>
    <w:p w:rsidR="00470BCC" w:rsidRPr="00C1136B" w:rsidRDefault="00470BCC" w:rsidP="00470BCC">
      <w:pPr>
        <w:jc w:val="center"/>
        <w:rPr>
          <w:rFonts w:cs="Arial"/>
          <w:b/>
          <w:bCs/>
          <w:sz w:val="20"/>
        </w:rPr>
      </w:pPr>
    </w:p>
    <w:p w:rsidR="0051271C" w:rsidRDefault="000E7837" w:rsidP="00BC5467">
      <w:pPr>
        <w:shd w:val="clear" w:color="auto" w:fill="FFFFFF" w:themeFill="background1"/>
        <w:jc w:val="center"/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</w:pPr>
      <w:r w:rsidRPr="0072604C">
        <w:rPr>
          <w:rFonts w:cs="Arial"/>
          <w:b/>
          <w:bCs/>
          <w:sz w:val="20"/>
          <w:shd w:val="clear" w:color="auto" w:fill="EAF1DD" w:themeFill="accent3" w:themeFillTint="33"/>
        </w:rPr>
        <w:t>Evidenční číslo smlouvy: ZVVZ-</w:t>
      </w:r>
      <w:r w:rsidRPr="0072604C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EG</w:t>
      </w:r>
      <w:r w:rsidR="0051271C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 xml:space="preserve"> </w:t>
      </w:r>
      <w:r w:rsidR="001E6C67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400</w:t>
      </w:r>
      <w:r w:rsidR="00153139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8</w:t>
      </w:r>
    </w:p>
    <w:p w:rsidR="00470BD6" w:rsidRDefault="00470BD6" w:rsidP="00BC5467">
      <w:pPr>
        <w:shd w:val="clear" w:color="auto" w:fill="FFFFFF" w:themeFill="background1"/>
        <w:jc w:val="center"/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</w:pPr>
      <w:r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 xml:space="preserve">Evidenční číslo smlouvy odběratele: </w:t>
      </w:r>
      <w:proofErr w:type="spellStart"/>
      <w:r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Sml</w:t>
      </w:r>
      <w:proofErr w:type="spellEnd"/>
      <w:r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 xml:space="preserve"> 0211/2016</w:t>
      </w:r>
    </w:p>
    <w:p w:rsidR="00470BCC" w:rsidRPr="0051271C" w:rsidRDefault="001E6C67" w:rsidP="00BC5467">
      <w:pPr>
        <w:shd w:val="clear" w:color="auto" w:fill="FFFFFF" w:themeFill="background1"/>
        <w:jc w:val="center"/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</w:pPr>
      <w:r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Kotelna „</w:t>
      </w:r>
      <w:r w:rsidR="00153139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Dům služeb</w:t>
      </w:r>
      <w:r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 xml:space="preserve">“ </w:t>
      </w:r>
      <w:r w:rsidR="00153139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gen. Svobody 413</w:t>
      </w:r>
      <w:r w:rsidR="0051271C" w:rsidRPr="0051271C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, Milevsko</w:t>
      </w:r>
      <w:r w:rsidR="00AC607B" w:rsidRPr="0051271C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 xml:space="preserve"> </w:t>
      </w:r>
    </w:p>
    <w:p w:rsidR="00BC5467" w:rsidRPr="0051271C" w:rsidRDefault="00BC5467" w:rsidP="00BC5467">
      <w:pPr>
        <w:shd w:val="clear" w:color="auto" w:fill="FFFFFF" w:themeFill="background1"/>
        <w:jc w:val="center"/>
        <w:rPr>
          <w:rFonts w:cs="Arial"/>
          <w:b/>
          <w:bCs/>
          <w:i/>
          <w:sz w:val="20"/>
        </w:rPr>
      </w:pPr>
    </w:p>
    <w:p w:rsidR="0003235C" w:rsidRDefault="0003235C" w:rsidP="00092D5B">
      <w:pPr>
        <w:jc w:val="center"/>
        <w:rPr>
          <w:rFonts w:cs="Arial"/>
          <w:b/>
          <w:bCs/>
          <w:sz w:val="20"/>
        </w:rPr>
      </w:pPr>
    </w:p>
    <w:p w:rsidR="00470BCC" w:rsidRPr="00C1136B" w:rsidRDefault="00470BCC" w:rsidP="00470BCC">
      <w:pPr>
        <w:pStyle w:val="Zkladntext"/>
        <w:jc w:val="center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čl. 1</w:t>
      </w:r>
    </w:p>
    <w:p w:rsidR="00470BCC" w:rsidRPr="00C1136B" w:rsidRDefault="00470BCC" w:rsidP="00CC303E">
      <w:pPr>
        <w:pStyle w:val="pevnedaje"/>
        <w:shd w:val="clear" w:color="auto" w:fill="C6D9F1" w:themeFill="text2" w:themeFillTint="33"/>
        <w:jc w:val="center"/>
        <w:outlineLvl w:val="0"/>
        <w:rPr>
          <w:rFonts w:cs="Arial"/>
          <w:b/>
          <w:caps/>
          <w:sz w:val="20"/>
        </w:rPr>
      </w:pPr>
      <w:r w:rsidRPr="00C1136B">
        <w:rPr>
          <w:rFonts w:cs="Arial"/>
          <w:b/>
          <w:caps/>
          <w:sz w:val="20"/>
        </w:rPr>
        <w:t>Smluvní strany</w:t>
      </w:r>
    </w:p>
    <w:p w:rsidR="00470BCC" w:rsidRPr="00C1136B" w:rsidRDefault="00470BCC" w:rsidP="00470BCC">
      <w:pPr>
        <w:pStyle w:val="pevnedaje"/>
        <w:rPr>
          <w:rFonts w:cs="Arial"/>
          <w:b/>
          <w:sz w:val="20"/>
        </w:rPr>
      </w:pPr>
    </w:p>
    <w:p w:rsidR="00470BCC" w:rsidRPr="00C1136B" w:rsidRDefault="00470BCC" w:rsidP="00470BCC">
      <w:pPr>
        <w:pStyle w:val="pevnedaje"/>
        <w:rPr>
          <w:rFonts w:cs="Arial"/>
          <w:b/>
          <w:sz w:val="20"/>
        </w:rPr>
      </w:pPr>
    </w:p>
    <w:p w:rsidR="00470BCC" w:rsidRPr="00C1136B" w:rsidRDefault="00470BCC" w:rsidP="0072604C">
      <w:pPr>
        <w:pStyle w:val="pevnedaje"/>
        <w:shd w:val="clear" w:color="auto" w:fill="D6E3BC" w:themeFill="accent3" w:themeFillTint="66"/>
        <w:tabs>
          <w:tab w:val="left" w:pos="1210"/>
        </w:tabs>
        <w:rPr>
          <w:rFonts w:cs="Arial"/>
          <w:sz w:val="20"/>
        </w:rPr>
      </w:pPr>
      <w:r w:rsidRPr="00C1136B">
        <w:rPr>
          <w:rFonts w:cs="Arial"/>
          <w:b/>
          <w:color w:val="000000"/>
          <w:sz w:val="20"/>
        </w:rPr>
        <w:t>Dodavatel:</w:t>
      </w:r>
      <w:r w:rsidRPr="00C1136B">
        <w:rPr>
          <w:rFonts w:cs="Arial"/>
          <w:b/>
          <w:color w:val="000000"/>
          <w:sz w:val="20"/>
        </w:rPr>
        <w:tab/>
      </w:r>
      <w:r w:rsidR="009A245C" w:rsidRPr="00C1136B">
        <w:rPr>
          <w:rFonts w:cs="Arial"/>
          <w:b/>
          <w:color w:val="000000"/>
          <w:sz w:val="20"/>
        </w:rPr>
        <w:tab/>
      </w:r>
      <w:r w:rsidR="00583D53">
        <w:rPr>
          <w:rFonts w:cs="Arial"/>
          <w:b/>
          <w:sz w:val="20"/>
        </w:rPr>
        <w:t>ZVVZ ENERGO</w:t>
      </w:r>
      <w:r w:rsidR="004B5986">
        <w:rPr>
          <w:rFonts w:cs="Arial"/>
          <w:b/>
          <w:sz w:val="20"/>
        </w:rPr>
        <w:t>,</w:t>
      </w:r>
      <w:r w:rsidRPr="00C1136B">
        <w:rPr>
          <w:rFonts w:cs="Arial"/>
          <w:b/>
          <w:sz w:val="20"/>
        </w:rPr>
        <w:t xml:space="preserve"> s.r.o., </w:t>
      </w:r>
      <w:r w:rsidRPr="00C1136B">
        <w:rPr>
          <w:rFonts w:cs="Arial"/>
          <w:sz w:val="20"/>
        </w:rPr>
        <w:t>Sa</w:t>
      </w:r>
      <w:r w:rsidRPr="00C1136B">
        <w:rPr>
          <w:rFonts w:cs="Arial"/>
          <w:sz w:val="20"/>
        </w:rPr>
        <w:sym w:font="Arial" w:char="017E"/>
      </w:r>
      <w:r w:rsidRPr="00C1136B">
        <w:rPr>
          <w:rFonts w:cs="Arial"/>
          <w:sz w:val="20"/>
        </w:rPr>
        <w:t>inova 888, 399 01</w:t>
      </w:r>
      <w:r w:rsidRPr="00C1136B">
        <w:rPr>
          <w:rFonts w:cs="Arial"/>
          <w:b/>
          <w:sz w:val="20"/>
        </w:rPr>
        <w:t xml:space="preserve"> </w:t>
      </w:r>
      <w:r w:rsidRPr="000E7837">
        <w:rPr>
          <w:rFonts w:cs="Arial"/>
          <w:sz w:val="20"/>
        </w:rPr>
        <w:t>Milevsko</w:t>
      </w:r>
      <w:r w:rsidRPr="00C1136B">
        <w:rPr>
          <w:rFonts w:cs="Arial"/>
          <w:b/>
          <w:sz w:val="20"/>
        </w:rPr>
        <w:t xml:space="preserve"> </w:t>
      </w:r>
    </w:p>
    <w:p w:rsidR="00470BCC" w:rsidRPr="00C1136B" w:rsidRDefault="00470BCC" w:rsidP="004B5986">
      <w:pPr>
        <w:pStyle w:val="pevnedaje"/>
        <w:ind w:left="2832" w:firstLine="708"/>
        <w:rPr>
          <w:rFonts w:cs="Arial"/>
          <w:sz w:val="20"/>
        </w:rPr>
      </w:pPr>
      <w:r w:rsidRPr="00C1136B">
        <w:rPr>
          <w:rFonts w:cs="Arial"/>
          <w:sz w:val="20"/>
        </w:rPr>
        <w:t>IČ: 28085230, DIČ: CZ28085230</w:t>
      </w:r>
      <w:r w:rsidRPr="00C1136B">
        <w:rPr>
          <w:rFonts w:cs="Arial"/>
          <w:sz w:val="20"/>
        </w:rPr>
        <w:tab/>
      </w:r>
    </w:p>
    <w:p w:rsidR="00470BCC" w:rsidRPr="00C1136B" w:rsidRDefault="00470BCC" w:rsidP="00470BCC">
      <w:pPr>
        <w:pStyle w:val="pevnedaje"/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Peněžní ústav:  </w:t>
      </w:r>
      <w:r w:rsidR="00B95B51" w:rsidRPr="00C1136B">
        <w:rPr>
          <w:rFonts w:cs="Arial"/>
          <w:sz w:val="20"/>
        </w:rPr>
        <w:tab/>
      </w:r>
      <w:r w:rsidRPr="00C1136B">
        <w:rPr>
          <w:rFonts w:cs="Arial"/>
          <w:sz w:val="20"/>
        </w:rPr>
        <w:t>Komerční banka a.s.; č. účtu: 43-2358480247/0100</w:t>
      </w:r>
    </w:p>
    <w:p w:rsidR="00470BCC" w:rsidRPr="00C1136B" w:rsidRDefault="00470BCC" w:rsidP="00470BCC">
      <w:pPr>
        <w:pStyle w:val="pevnedaje"/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Obchodní rejstřík: </w:t>
      </w:r>
      <w:r w:rsidR="00B95B51" w:rsidRPr="00C1136B">
        <w:rPr>
          <w:rFonts w:cs="Arial"/>
          <w:sz w:val="20"/>
        </w:rPr>
        <w:tab/>
      </w:r>
      <w:r w:rsidRPr="00C1136B">
        <w:rPr>
          <w:rFonts w:cs="Arial"/>
          <w:sz w:val="20"/>
        </w:rPr>
        <w:t>Krajský soud České Budě</w:t>
      </w:r>
      <w:r w:rsidR="00771EAF">
        <w:rPr>
          <w:rFonts w:cs="Arial"/>
          <w:sz w:val="20"/>
        </w:rPr>
        <w:t>jovice, oddíl C,  vložka  16346</w:t>
      </w:r>
    </w:p>
    <w:p w:rsidR="00470BCC" w:rsidRPr="00C1136B" w:rsidRDefault="00470BCC" w:rsidP="00470BCC">
      <w:pPr>
        <w:pStyle w:val="pevnedaj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35"/>
        </w:tabs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Držitel licencí: </w:t>
      </w:r>
      <w:r w:rsidRPr="00C1136B">
        <w:rPr>
          <w:rFonts w:cs="Arial"/>
          <w:sz w:val="20"/>
        </w:rPr>
        <w:tab/>
      </w:r>
      <w:r w:rsidR="0037487C">
        <w:rPr>
          <w:rFonts w:cs="Arial"/>
          <w:sz w:val="20"/>
        </w:rPr>
        <w:tab/>
      </w:r>
      <w:r w:rsidRPr="00C1136B">
        <w:rPr>
          <w:rFonts w:cs="Arial"/>
          <w:sz w:val="20"/>
        </w:rPr>
        <w:t>310807159, skupina 31, výroba tepelné energie</w:t>
      </w:r>
    </w:p>
    <w:p w:rsidR="00470BCC" w:rsidRPr="00C1136B" w:rsidRDefault="00470BCC" w:rsidP="00470BCC">
      <w:pPr>
        <w:pStyle w:val="pevnedaje"/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ab/>
      </w:r>
      <w:r w:rsidRPr="00C1136B">
        <w:rPr>
          <w:rFonts w:cs="Arial"/>
          <w:sz w:val="20"/>
        </w:rPr>
        <w:tab/>
      </w:r>
      <w:r w:rsidR="00B95B51" w:rsidRPr="00C1136B">
        <w:rPr>
          <w:rFonts w:cs="Arial"/>
          <w:sz w:val="20"/>
        </w:rPr>
        <w:tab/>
      </w:r>
      <w:r w:rsidRPr="00C1136B">
        <w:rPr>
          <w:rFonts w:cs="Arial"/>
          <w:sz w:val="20"/>
        </w:rPr>
        <w:t>320807160, skupina 32, rozvod tepelné energie</w:t>
      </w:r>
    </w:p>
    <w:p w:rsidR="00992BC2" w:rsidRDefault="00433AC3" w:rsidP="00771EAF">
      <w:pPr>
        <w:pStyle w:val="pevnedaje"/>
        <w:ind w:left="708" w:firstLine="708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583D53">
        <w:rPr>
          <w:rFonts w:cs="Arial"/>
          <w:sz w:val="20"/>
        </w:rPr>
        <w:t>astoupen</w:t>
      </w:r>
      <w:r w:rsidR="005158B6">
        <w:rPr>
          <w:rFonts w:cs="Arial"/>
          <w:sz w:val="20"/>
        </w:rPr>
        <w:t>:</w:t>
      </w:r>
      <w:r w:rsidR="00583D53">
        <w:rPr>
          <w:rFonts w:cs="Arial"/>
          <w:sz w:val="20"/>
        </w:rPr>
        <w:t xml:space="preserve"> </w:t>
      </w:r>
      <w:r w:rsidR="000D19B0">
        <w:rPr>
          <w:rFonts w:cs="Arial"/>
          <w:sz w:val="20"/>
        </w:rPr>
        <w:tab/>
      </w:r>
      <w:r w:rsidR="00A346AB">
        <w:rPr>
          <w:rFonts w:cs="Arial"/>
          <w:sz w:val="20"/>
        </w:rPr>
        <w:tab/>
      </w:r>
      <w:r w:rsidR="00992BC2">
        <w:rPr>
          <w:rFonts w:cs="Arial"/>
          <w:sz w:val="20"/>
        </w:rPr>
        <w:t xml:space="preserve">Ing. Vladimírem Krejčím, jednatelem společnosti </w:t>
      </w:r>
    </w:p>
    <w:p w:rsidR="005B0A38" w:rsidRDefault="006E684C" w:rsidP="00992BC2">
      <w:pPr>
        <w:pStyle w:val="pevnedaje"/>
        <w:ind w:left="2832" w:firstLine="708"/>
        <w:rPr>
          <w:rFonts w:cs="Arial"/>
          <w:sz w:val="20"/>
        </w:rPr>
      </w:pPr>
      <w:r>
        <w:rPr>
          <w:rFonts w:cs="Arial"/>
          <w:sz w:val="20"/>
        </w:rPr>
        <w:t>Miloslavem Skalickým</w:t>
      </w:r>
      <w:r w:rsidR="005B0A38" w:rsidRPr="00C1136B">
        <w:rPr>
          <w:rFonts w:cs="Arial"/>
          <w:sz w:val="20"/>
        </w:rPr>
        <w:t>, jednatelem společnosti</w:t>
      </w:r>
    </w:p>
    <w:p w:rsidR="00A346AB" w:rsidRDefault="000D19B0" w:rsidP="00A346AB">
      <w:pPr>
        <w:pStyle w:val="pevnedaje"/>
        <w:ind w:left="708" w:firstLine="708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346AB">
        <w:rPr>
          <w:rFonts w:cs="Arial"/>
          <w:sz w:val="20"/>
        </w:rPr>
        <w:tab/>
      </w:r>
    </w:p>
    <w:p w:rsidR="00857E97" w:rsidRDefault="00433AC3">
      <w:pPr>
        <w:pStyle w:val="Prosttext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A40F5">
        <w:rPr>
          <w:rFonts w:ascii="Arial" w:hAnsi="Arial" w:cs="Arial"/>
          <w:sz w:val="20"/>
          <w:szCs w:val="20"/>
        </w:rPr>
        <w:t>ověření zaměstnanci:</w:t>
      </w:r>
    </w:p>
    <w:p w:rsidR="0072604C" w:rsidRDefault="00BC4F84" w:rsidP="00143949">
      <w:pPr>
        <w:pStyle w:val="Prosttext"/>
        <w:ind w:left="1416"/>
        <w:rPr>
          <w:rFonts w:ascii="Arial" w:hAnsi="Arial" w:cs="Arial"/>
          <w:sz w:val="20"/>
          <w:szCs w:val="20"/>
        </w:rPr>
      </w:pPr>
      <w:r w:rsidRPr="00BC4F84">
        <w:rPr>
          <w:rFonts w:ascii="Arial" w:hAnsi="Arial" w:cs="Arial"/>
          <w:sz w:val="20"/>
          <w:szCs w:val="20"/>
        </w:rPr>
        <w:t>ve věcech obchodních a finančních:</w:t>
      </w:r>
    </w:p>
    <w:p w:rsidR="00143949" w:rsidRDefault="0072604C" w:rsidP="0072604C">
      <w:pPr>
        <w:pStyle w:val="Prosttext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19B0">
        <w:rPr>
          <w:rFonts w:ascii="Arial" w:hAnsi="Arial" w:cs="Arial"/>
          <w:sz w:val="20"/>
          <w:szCs w:val="20"/>
        </w:rPr>
        <w:tab/>
      </w:r>
      <w:r w:rsidR="00BC4F84" w:rsidRPr="00BC4F84">
        <w:rPr>
          <w:rFonts w:ascii="Arial" w:hAnsi="Arial" w:cs="Arial"/>
          <w:sz w:val="20"/>
          <w:szCs w:val="20"/>
        </w:rPr>
        <w:t>Bc. Petra Pokorná</w:t>
      </w:r>
      <w:r>
        <w:rPr>
          <w:rFonts w:ascii="Arial" w:hAnsi="Arial" w:cs="Arial"/>
          <w:sz w:val="20"/>
          <w:szCs w:val="20"/>
        </w:rPr>
        <w:t xml:space="preserve">, </w:t>
      </w:r>
      <w:r w:rsidR="003C5B88">
        <w:rPr>
          <w:rFonts w:ascii="Arial" w:hAnsi="Arial" w:cs="Arial"/>
          <w:sz w:val="20"/>
          <w:szCs w:val="20"/>
        </w:rPr>
        <w:t>tel.:</w:t>
      </w:r>
      <w:r w:rsidR="005158B6">
        <w:rPr>
          <w:rFonts w:ascii="Arial" w:hAnsi="Arial" w:cs="Arial"/>
          <w:sz w:val="20"/>
          <w:szCs w:val="20"/>
        </w:rPr>
        <w:t xml:space="preserve"> </w:t>
      </w:r>
      <w:r w:rsidR="00BC4F84" w:rsidRPr="00BC4F84">
        <w:rPr>
          <w:rFonts w:ascii="Arial" w:hAnsi="Arial" w:cs="Arial"/>
          <w:sz w:val="20"/>
          <w:szCs w:val="20"/>
        </w:rPr>
        <w:t>382 55 2856</w:t>
      </w:r>
    </w:p>
    <w:p w:rsidR="000D19B0" w:rsidRDefault="00143949" w:rsidP="0072604C">
      <w:pPr>
        <w:pStyle w:val="Prosttext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petra.pokorna@zvvz.cz</w:t>
      </w:r>
      <w:r w:rsidR="00BC4F84" w:rsidRPr="00BC4F84">
        <w:rPr>
          <w:rFonts w:ascii="Arial" w:hAnsi="Arial" w:cs="Arial"/>
          <w:sz w:val="20"/>
          <w:szCs w:val="20"/>
        </w:rPr>
        <w:t xml:space="preserve"> </w:t>
      </w:r>
    </w:p>
    <w:p w:rsidR="0072604C" w:rsidRDefault="00BC4F84" w:rsidP="00143949">
      <w:pPr>
        <w:pStyle w:val="Prosttext"/>
        <w:ind w:left="708" w:firstLine="708"/>
        <w:rPr>
          <w:rFonts w:ascii="Arial" w:hAnsi="Arial" w:cs="Arial"/>
          <w:sz w:val="20"/>
          <w:szCs w:val="20"/>
        </w:rPr>
      </w:pPr>
      <w:r w:rsidRPr="00BC4F84">
        <w:rPr>
          <w:rFonts w:ascii="Arial" w:hAnsi="Arial" w:cs="Arial"/>
          <w:sz w:val="20"/>
          <w:szCs w:val="20"/>
        </w:rPr>
        <w:t xml:space="preserve">ve věcech technických: </w:t>
      </w:r>
      <w:r w:rsidRPr="00BC4F84">
        <w:rPr>
          <w:rFonts w:ascii="Arial" w:hAnsi="Arial" w:cs="Arial"/>
          <w:sz w:val="20"/>
          <w:szCs w:val="20"/>
        </w:rPr>
        <w:tab/>
      </w:r>
      <w:r w:rsidRPr="00BC4F84">
        <w:rPr>
          <w:rFonts w:ascii="Arial" w:hAnsi="Arial" w:cs="Arial"/>
          <w:sz w:val="20"/>
          <w:szCs w:val="20"/>
        </w:rPr>
        <w:tab/>
      </w:r>
      <w:r w:rsidRPr="00BC4F84">
        <w:rPr>
          <w:rFonts w:ascii="Arial" w:hAnsi="Arial" w:cs="Arial"/>
          <w:sz w:val="20"/>
          <w:szCs w:val="20"/>
        </w:rPr>
        <w:tab/>
      </w:r>
    </w:p>
    <w:p w:rsidR="000D19B0" w:rsidRDefault="00BC4F84" w:rsidP="0072604C">
      <w:pPr>
        <w:pStyle w:val="Prosttext"/>
        <w:ind w:left="2832" w:firstLine="708"/>
        <w:rPr>
          <w:rFonts w:ascii="Arial" w:hAnsi="Arial" w:cs="Arial"/>
          <w:sz w:val="20"/>
          <w:szCs w:val="20"/>
        </w:rPr>
      </w:pPr>
      <w:r w:rsidRPr="00BC4F84">
        <w:rPr>
          <w:rFonts w:ascii="Arial" w:hAnsi="Arial" w:cs="Arial"/>
          <w:sz w:val="20"/>
          <w:szCs w:val="20"/>
        </w:rPr>
        <w:t>Josef Hájíček</w:t>
      </w:r>
      <w:r w:rsidR="0072604C">
        <w:rPr>
          <w:rFonts w:ascii="Arial" w:hAnsi="Arial" w:cs="Arial"/>
          <w:sz w:val="20"/>
          <w:szCs w:val="20"/>
        </w:rPr>
        <w:t xml:space="preserve">, </w:t>
      </w:r>
      <w:r w:rsidRPr="00BC4F84">
        <w:rPr>
          <w:rFonts w:ascii="Arial" w:hAnsi="Arial" w:cs="Arial"/>
          <w:sz w:val="20"/>
          <w:szCs w:val="20"/>
        </w:rPr>
        <w:t>tel.:</w:t>
      </w:r>
      <w:r w:rsidR="005158B6">
        <w:rPr>
          <w:rFonts w:ascii="Arial" w:hAnsi="Arial" w:cs="Arial"/>
          <w:sz w:val="20"/>
          <w:szCs w:val="20"/>
        </w:rPr>
        <w:t xml:space="preserve"> </w:t>
      </w:r>
      <w:r w:rsidRPr="00BC4F84">
        <w:rPr>
          <w:rFonts w:ascii="Arial" w:hAnsi="Arial" w:cs="Arial"/>
          <w:sz w:val="20"/>
          <w:szCs w:val="20"/>
        </w:rPr>
        <w:t>737 23 3029</w:t>
      </w:r>
    </w:p>
    <w:p w:rsidR="00143949" w:rsidRPr="000D19B0" w:rsidRDefault="0072604C" w:rsidP="000D19B0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43949">
        <w:rPr>
          <w:rFonts w:ascii="Arial" w:hAnsi="Arial" w:cs="Arial"/>
          <w:sz w:val="20"/>
          <w:szCs w:val="20"/>
        </w:rPr>
        <w:t>e-mail: josef.hajicek@zvvz.cz</w:t>
      </w:r>
    </w:p>
    <w:p w:rsidR="005B0A38" w:rsidRPr="00C1136B" w:rsidRDefault="005B0A38" w:rsidP="0072604C">
      <w:pPr>
        <w:ind w:left="708" w:firstLine="708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dále jen „dodavatel“</w:t>
      </w:r>
    </w:p>
    <w:p w:rsidR="00470BCC" w:rsidRPr="00C1136B" w:rsidRDefault="00470BCC" w:rsidP="00D06FCE">
      <w:pPr>
        <w:pStyle w:val="pevnedaje"/>
        <w:tabs>
          <w:tab w:val="left" w:pos="4820"/>
        </w:tabs>
        <w:jc w:val="center"/>
        <w:rPr>
          <w:rFonts w:cs="Arial"/>
          <w:sz w:val="20"/>
        </w:rPr>
      </w:pPr>
    </w:p>
    <w:p w:rsidR="00470BCC" w:rsidRDefault="00410BD5" w:rsidP="006A2D94">
      <w:pPr>
        <w:pStyle w:val="pevnedaje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</w:t>
      </w:r>
    </w:p>
    <w:p w:rsidR="00410BD5" w:rsidRPr="00C1136B" w:rsidRDefault="00410BD5" w:rsidP="006A2D94">
      <w:pPr>
        <w:pStyle w:val="pevnedaje"/>
        <w:jc w:val="center"/>
        <w:rPr>
          <w:rFonts w:cs="Arial"/>
          <w:b/>
          <w:sz w:val="20"/>
        </w:rPr>
      </w:pPr>
    </w:p>
    <w:p w:rsidR="004F7566" w:rsidRPr="00AC607B" w:rsidRDefault="0020772A" w:rsidP="0072604C">
      <w:pPr>
        <w:pStyle w:val="pevnedaje"/>
        <w:shd w:val="clear" w:color="auto" w:fill="D6E3BC" w:themeFill="accent3" w:themeFillTint="66"/>
        <w:tabs>
          <w:tab w:val="left" w:pos="1210"/>
        </w:tabs>
        <w:ind w:left="1410" w:hanging="1410"/>
        <w:jc w:val="left"/>
        <w:rPr>
          <w:rStyle w:val="tsubjname"/>
          <w:sz w:val="20"/>
        </w:rPr>
      </w:pPr>
      <w:r w:rsidRPr="00C1136B">
        <w:rPr>
          <w:rFonts w:cs="Arial"/>
          <w:b/>
          <w:color w:val="000000"/>
          <w:sz w:val="20"/>
        </w:rPr>
        <w:t>Odběratel:</w:t>
      </w:r>
      <w:r w:rsidRPr="00C1136B">
        <w:rPr>
          <w:rFonts w:cs="Arial"/>
          <w:b/>
          <w:color w:val="000000"/>
          <w:sz w:val="20"/>
        </w:rPr>
        <w:tab/>
      </w:r>
      <w:r w:rsidRPr="00C1136B">
        <w:rPr>
          <w:rFonts w:cs="Arial"/>
          <w:b/>
          <w:color w:val="000000"/>
          <w:sz w:val="20"/>
        </w:rPr>
        <w:tab/>
      </w:r>
      <w:r w:rsidR="0051271C">
        <w:rPr>
          <w:rFonts w:cs="Arial"/>
          <w:b/>
          <w:color w:val="000000"/>
          <w:sz w:val="20"/>
        </w:rPr>
        <w:t>M</w:t>
      </w:r>
      <w:r w:rsidR="0051271C">
        <w:rPr>
          <w:rFonts w:cs="Arial"/>
          <w:b/>
          <w:sz w:val="20"/>
        </w:rPr>
        <w:t>ěsto Milevsko</w:t>
      </w:r>
      <w:r w:rsidR="0051271C">
        <w:rPr>
          <w:rFonts w:cs="Arial"/>
          <w:sz w:val="20"/>
        </w:rPr>
        <w:t xml:space="preserve">, nám. E. Beneše 420, 399 </w:t>
      </w:r>
      <w:r w:rsidR="0051271C" w:rsidRPr="0051271C">
        <w:rPr>
          <w:rFonts w:cs="Arial"/>
          <w:sz w:val="20"/>
        </w:rPr>
        <w:t>01  Milevsko 1</w:t>
      </w:r>
    </w:p>
    <w:p w:rsidR="0051271C" w:rsidRDefault="008F7535" w:rsidP="0051271C">
      <w:pPr>
        <w:pStyle w:val="pevnedaje"/>
        <w:ind w:left="708" w:firstLine="708"/>
        <w:outlineLvl w:val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51271C">
        <w:rPr>
          <w:rFonts w:cs="Arial"/>
          <w:sz w:val="20"/>
        </w:rPr>
        <w:t>IČ: 00249831; DIČ: CZ00249831</w:t>
      </w:r>
    </w:p>
    <w:p w:rsidR="0051271C" w:rsidRDefault="0051271C" w:rsidP="0051271C">
      <w:pPr>
        <w:pStyle w:val="pevnedaje"/>
        <w:ind w:left="1416"/>
        <w:rPr>
          <w:rFonts w:cs="Arial"/>
          <w:sz w:val="20"/>
        </w:rPr>
      </w:pPr>
      <w:r>
        <w:rPr>
          <w:rFonts w:cs="Arial"/>
          <w:sz w:val="20"/>
        </w:rPr>
        <w:t xml:space="preserve">Peněžní ústav: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Česká spořitelna a.s., č.účtu: 9021-0640992319/0800</w:t>
      </w:r>
    </w:p>
    <w:p w:rsidR="008F7535" w:rsidRDefault="0051271C" w:rsidP="008F7535">
      <w:pPr>
        <w:pStyle w:val="pevnedaje"/>
        <w:tabs>
          <w:tab w:val="left" w:pos="1210"/>
        </w:tabs>
        <w:ind w:left="1410" w:hanging="1410"/>
        <w:jc w:val="left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F7535">
        <w:rPr>
          <w:rFonts w:cs="Arial"/>
          <w:sz w:val="20"/>
        </w:rPr>
        <w:t>Zastoupen:</w:t>
      </w:r>
      <w:r w:rsidR="008F7535">
        <w:rPr>
          <w:rFonts w:cs="Arial"/>
          <w:sz w:val="20"/>
        </w:rPr>
        <w:tab/>
      </w:r>
      <w:r w:rsidR="00AC607B">
        <w:rPr>
          <w:rFonts w:cs="Arial"/>
          <w:sz w:val="20"/>
        </w:rPr>
        <w:tab/>
        <w:t xml:space="preserve">Ing. </w:t>
      </w:r>
      <w:r>
        <w:rPr>
          <w:rFonts w:cs="Arial"/>
          <w:sz w:val="20"/>
        </w:rPr>
        <w:t>Ivanem Radostou</w:t>
      </w:r>
      <w:r w:rsidR="00AC607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starostou města</w:t>
      </w:r>
      <w:r w:rsidR="008F7535">
        <w:rPr>
          <w:rFonts w:cs="Arial"/>
          <w:sz w:val="20"/>
        </w:rPr>
        <w:tab/>
      </w:r>
    </w:p>
    <w:p w:rsidR="005158B6" w:rsidRDefault="005158B6" w:rsidP="0072604C">
      <w:pPr>
        <w:ind w:left="708" w:firstLine="708"/>
        <w:rPr>
          <w:rFonts w:cs="Arial"/>
          <w:b/>
          <w:bCs/>
          <w:sz w:val="20"/>
        </w:rPr>
      </w:pPr>
    </w:p>
    <w:p w:rsidR="0020772A" w:rsidRDefault="0020772A" w:rsidP="0072604C">
      <w:pPr>
        <w:ind w:left="708" w:firstLine="708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dále jen „</w:t>
      </w:r>
      <w:r>
        <w:rPr>
          <w:rFonts w:cs="Arial"/>
          <w:b/>
          <w:bCs/>
          <w:sz w:val="20"/>
        </w:rPr>
        <w:t>odběratel</w:t>
      </w:r>
      <w:r w:rsidRPr="00C1136B">
        <w:rPr>
          <w:rFonts w:cs="Arial"/>
          <w:b/>
          <w:bCs/>
          <w:sz w:val="20"/>
        </w:rPr>
        <w:t>“</w:t>
      </w:r>
    </w:p>
    <w:p w:rsidR="00961975" w:rsidRPr="00C1136B" w:rsidRDefault="008F7535" w:rsidP="00E31718">
      <w:pPr>
        <w:pStyle w:val="pevnedaje"/>
        <w:tabs>
          <w:tab w:val="left" w:pos="4820"/>
        </w:tabs>
        <w:rPr>
          <w:rFonts w:cs="Arial"/>
          <w:b/>
          <w:sz w:val="20"/>
        </w:rPr>
      </w:pPr>
      <w:r w:rsidRPr="00C1136B">
        <w:rPr>
          <w:rFonts w:cs="Arial"/>
          <w:sz w:val="20"/>
        </w:rPr>
        <w:tab/>
      </w:r>
    </w:p>
    <w:p w:rsidR="00961975" w:rsidRPr="00C1136B" w:rsidRDefault="00961975" w:rsidP="0072604C">
      <w:pPr>
        <w:ind w:left="708" w:firstLine="708"/>
        <w:rPr>
          <w:rFonts w:cs="Arial"/>
          <w:b/>
          <w:bCs/>
          <w:sz w:val="20"/>
        </w:rPr>
      </w:pP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 xml:space="preserve">uzavírají </w:t>
      </w: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 xml:space="preserve">podle zákona č. </w:t>
      </w:r>
      <w:r w:rsidR="00AE4642">
        <w:rPr>
          <w:rFonts w:cs="Arial"/>
          <w:b/>
          <w:sz w:val="20"/>
        </w:rPr>
        <w:t>89/2012</w:t>
      </w:r>
      <w:r w:rsidRPr="00C1136B">
        <w:rPr>
          <w:rFonts w:cs="Arial"/>
          <w:b/>
          <w:sz w:val="20"/>
        </w:rPr>
        <w:t xml:space="preserve"> Sb. v platném znění</w:t>
      </w:r>
      <w:r w:rsidR="003C5B88">
        <w:rPr>
          <w:rFonts w:cs="Arial"/>
          <w:b/>
          <w:sz w:val="20"/>
        </w:rPr>
        <w:t xml:space="preserve"> (Občanský zákoník)</w:t>
      </w:r>
      <w:r w:rsidRPr="00C1136B">
        <w:rPr>
          <w:rFonts w:cs="Arial"/>
          <w:b/>
          <w:sz w:val="20"/>
        </w:rPr>
        <w:t xml:space="preserve">, </w:t>
      </w: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sz w:val="20"/>
        </w:rPr>
        <w:t xml:space="preserve">zákona č. 458/2000 Sb. v platném znění </w:t>
      </w:r>
      <w:r w:rsidRPr="00C1136B">
        <w:rPr>
          <w:rFonts w:cs="Arial"/>
          <w:b/>
          <w:color w:val="000000"/>
          <w:sz w:val="20"/>
        </w:rPr>
        <w:t xml:space="preserve">(Energetický zákon) </w:t>
      </w: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 xml:space="preserve">a souvisejících právních předpisů v platném znění </w:t>
      </w:r>
    </w:p>
    <w:p w:rsidR="00470BCC" w:rsidRPr="00C1136B" w:rsidRDefault="004C5600" w:rsidP="005158B6">
      <w:pPr>
        <w:pStyle w:val="Zkladntext2"/>
        <w:spacing w:line="240" w:lineRule="auto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tuto Smlouvu</w:t>
      </w:r>
      <w:r w:rsidR="00470BCC" w:rsidRPr="00C1136B">
        <w:rPr>
          <w:rFonts w:cs="Arial"/>
          <w:b/>
          <w:color w:val="000000"/>
          <w:sz w:val="20"/>
        </w:rPr>
        <w:t xml:space="preserve"> </w:t>
      </w:r>
      <w:r w:rsidR="00B15132">
        <w:rPr>
          <w:rFonts w:cs="Arial"/>
          <w:b/>
          <w:color w:val="000000"/>
          <w:sz w:val="20"/>
        </w:rPr>
        <w:t>o dodávce tepelné energie</w:t>
      </w:r>
      <w:r w:rsidR="00470BCC" w:rsidRPr="00C1136B">
        <w:rPr>
          <w:rFonts w:cs="Arial"/>
          <w:b/>
          <w:color w:val="000000"/>
          <w:sz w:val="20"/>
        </w:rPr>
        <w:t xml:space="preserve"> pro vytápění a ohřev TUV.</w:t>
      </w:r>
    </w:p>
    <w:p w:rsidR="00470BCC" w:rsidRPr="00C1136B" w:rsidRDefault="00470BCC" w:rsidP="00470BCC">
      <w:pPr>
        <w:pStyle w:val="Zkladntext2"/>
        <w:spacing w:line="240" w:lineRule="auto"/>
        <w:rPr>
          <w:rFonts w:cs="Arial"/>
          <w:sz w:val="20"/>
        </w:rPr>
      </w:pPr>
    </w:p>
    <w:p w:rsidR="0072604C" w:rsidRDefault="0072604C" w:rsidP="00470BCC">
      <w:pPr>
        <w:rPr>
          <w:rFonts w:cs="Arial"/>
          <w:b/>
          <w:bCs/>
          <w:sz w:val="20"/>
        </w:rPr>
      </w:pPr>
    </w:p>
    <w:p w:rsidR="0072604C" w:rsidRPr="00C1136B" w:rsidRDefault="0072604C" w:rsidP="00470BCC">
      <w:pPr>
        <w:rPr>
          <w:rFonts w:cs="Arial"/>
          <w:b/>
          <w:bCs/>
          <w:sz w:val="20"/>
        </w:rPr>
      </w:pPr>
    </w:p>
    <w:p w:rsidR="00B10112" w:rsidRPr="00C1136B" w:rsidRDefault="00B10112" w:rsidP="00B10112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2</w:t>
      </w:r>
    </w:p>
    <w:p w:rsidR="00B10112" w:rsidRPr="00C1136B" w:rsidRDefault="00B10112" w:rsidP="00B10112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PŘEDMĚT SMLOUVY</w:t>
      </w:r>
    </w:p>
    <w:p w:rsidR="00B10112" w:rsidRDefault="00B10112" w:rsidP="00B10112">
      <w:pPr>
        <w:ind w:left="426" w:hanging="426"/>
        <w:rPr>
          <w:rFonts w:cs="Arial"/>
          <w:sz w:val="20"/>
        </w:rPr>
      </w:pP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2.1. Předmětem této smlouvy je závazek dodavatele dodávat tepelnou energii ze svého zařízení do odběrného místa odběratele v souladu s touto smlouvou a závazek odběratele zaplatit za dodanou a odebranou tepelnou energii cenu za podmínek uvedených v této smlouvě.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2.2. Za splnění dodávky se považuje přechod teplonosného média do zařízení odběratele. K přechodu vlastnictví dodávaného tepla mezi smluvními stranami dochází při vstupu tepla do zařízení odběratele.</w:t>
      </w:r>
    </w:p>
    <w:p w:rsidR="00B10112" w:rsidRPr="00C1136B" w:rsidRDefault="00B10112" w:rsidP="00B10112">
      <w:pPr>
        <w:rPr>
          <w:rFonts w:cs="Arial"/>
          <w:sz w:val="20"/>
        </w:rPr>
      </w:pPr>
    </w:p>
    <w:p w:rsidR="00B10112" w:rsidRDefault="00B10112" w:rsidP="00B10112">
      <w:pPr>
        <w:rPr>
          <w:rFonts w:cs="Arial"/>
          <w:b/>
          <w:sz w:val="20"/>
        </w:rPr>
      </w:pPr>
    </w:p>
    <w:p w:rsidR="00B10112" w:rsidRPr="00C1136B" w:rsidRDefault="00B10112" w:rsidP="00B10112">
      <w:pPr>
        <w:rPr>
          <w:rFonts w:cs="Arial"/>
          <w:b/>
          <w:sz w:val="20"/>
        </w:rPr>
      </w:pPr>
    </w:p>
    <w:p w:rsidR="00B10112" w:rsidRPr="00C1136B" w:rsidRDefault="00B10112" w:rsidP="00B10112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3</w:t>
      </w:r>
    </w:p>
    <w:p w:rsidR="00B10112" w:rsidRPr="00A00DAE" w:rsidRDefault="00B10112" w:rsidP="00B10112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CHARAKTER A PRAVIDLA DODÁVKY TEPELNÉ ENERGIE</w:t>
      </w:r>
    </w:p>
    <w:p w:rsidR="00B10112" w:rsidRPr="00C1136B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3.1. Základní parametry dodávané a vrácené teplonosné látky a další údaje jsou uvedeny v příloze č. 1 „Technické parametry odběrného místa“.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3.2. Teplonosné médium je ve vlastnictví dodavatele a odběratel je povinen teplonosné médium vracet, pokud se smluvní strany nedohodnou</w:t>
      </w:r>
      <w:r>
        <w:rPr>
          <w:rFonts w:cs="Arial"/>
          <w:sz w:val="20"/>
        </w:rPr>
        <w:t xml:space="preserve"> písemně</w:t>
      </w:r>
      <w:r w:rsidRPr="00C1136B">
        <w:rPr>
          <w:rFonts w:cs="Arial"/>
          <w:sz w:val="20"/>
        </w:rPr>
        <w:t xml:space="preserve"> jinak.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3.3. Dodavatel se zavazuje zabezpečit dodávky tepelné energie v závislosti na venkovní teplotě s dodržením param</w:t>
      </w:r>
      <w:r w:rsidRPr="00C1136B">
        <w:rPr>
          <w:rFonts w:cs="Arial"/>
          <w:sz w:val="20"/>
        </w:rPr>
        <w:t>e</w:t>
      </w:r>
      <w:r w:rsidRPr="00C1136B">
        <w:rPr>
          <w:rFonts w:cs="Arial"/>
          <w:sz w:val="20"/>
        </w:rPr>
        <w:t>trů a obecných pravidel danými závaznými právními předpisy a technickými normami platnými v době plnění.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3.4. Dodavatel je oprávněn omezit či přerušit dodávku tepelné energie pouze z důvodů vymezených v § 76 odst. 4 energetického zákona, ve znění pozdějších předpisů.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3.5. Odběratel se zavazuje upozornit dodavatele bez zbytečného odkladu na veškeré vzniklé závady na odběrném tepelném zařízení, na plánované opravy v objektu, popř. na změny, které by mohly mít vliv na průběh dodávky tepelné energie a na výši stanovených technických parametrů pro toto odběrné místo.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3.6. Odběratel nesmí bez předchozího souhlasu dodavatele k odběrnému tepelnému zařízení připojit nového odběr</w:t>
      </w:r>
      <w:r w:rsidRPr="00C1136B">
        <w:rPr>
          <w:rFonts w:cs="Arial"/>
          <w:sz w:val="20"/>
        </w:rPr>
        <w:t>a</w:t>
      </w:r>
      <w:r w:rsidRPr="00C1136B">
        <w:rPr>
          <w:rFonts w:cs="Arial"/>
          <w:sz w:val="20"/>
        </w:rPr>
        <w:t>tele.</w:t>
      </w:r>
    </w:p>
    <w:p w:rsidR="00B10112" w:rsidRDefault="00B10112" w:rsidP="00B10112">
      <w:pPr>
        <w:rPr>
          <w:rFonts w:cs="Arial"/>
          <w:sz w:val="20"/>
        </w:rPr>
      </w:pPr>
    </w:p>
    <w:p w:rsidR="00B10112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4</w:t>
      </w:r>
    </w:p>
    <w:p w:rsidR="00B10112" w:rsidRPr="00A00DAE" w:rsidRDefault="00B10112" w:rsidP="00B10112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A00DAE">
        <w:rPr>
          <w:rFonts w:cs="Arial"/>
          <w:b/>
          <w:sz w:val="20"/>
        </w:rPr>
        <w:t>MÍSTO PŘEDÁNÍ, MÍSTO A ZPŮSOB MĚŘENÍ</w:t>
      </w:r>
    </w:p>
    <w:p w:rsidR="00B10112" w:rsidRPr="00C1136B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4.1. Dodávka tepelné energie je uskutečněna přechodem tepelné energie o sjednaných parametrech ze zařízení d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>davatele do zařízení odběratele. Konkrétní místo plnění předmětu smlouvy je specifikováno v příloze č. 1 „Tec</w:t>
      </w:r>
      <w:r w:rsidRPr="00C1136B">
        <w:rPr>
          <w:rFonts w:cs="Arial"/>
          <w:sz w:val="20"/>
        </w:rPr>
        <w:t>h</w:t>
      </w:r>
      <w:r w:rsidRPr="00C1136B">
        <w:rPr>
          <w:rFonts w:cs="Arial"/>
          <w:sz w:val="20"/>
        </w:rPr>
        <w:t>nické parametry odběrného místa“.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4.2. Dodavatel je povinen</w:t>
      </w:r>
      <w:r>
        <w:rPr>
          <w:rFonts w:cs="Arial"/>
          <w:sz w:val="20"/>
        </w:rPr>
        <w:t xml:space="preserve"> měřící zařízení</w:t>
      </w:r>
      <w:r w:rsidRPr="00C1136B">
        <w:rPr>
          <w:rFonts w:cs="Arial"/>
          <w:sz w:val="20"/>
        </w:rPr>
        <w:t xml:space="preserve"> na svůj náklad osadit, zapojit, udržovat a pravidelně ověřovat správnost měření.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4.3. Odběratel je povinen umožnit dodavateli osadit měřící zařízení a zajistit ho proti neoprávněné manipulaci.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4.4. Dodavatel je povinen dodávku tepelné energie měřit, vyhodnocovat a účtovat podle skutečných parametrů tepl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>nosné látky a údajů vlastního měřícího zařízení.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4.5. </w:t>
      </w:r>
      <w:r>
        <w:rPr>
          <w:rFonts w:cs="Arial"/>
          <w:sz w:val="20"/>
        </w:rPr>
        <w:t>Odběratel je oprávněn za účasti dodavatele kontrolovat roční odečty dodávek tepla na měřícím zařízení.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</w:p>
    <w:p w:rsidR="00B10112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5</w:t>
      </w:r>
    </w:p>
    <w:p w:rsidR="00B10112" w:rsidRPr="00C1136B" w:rsidRDefault="00B10112" w:rsidP="00B10112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VYHODNOCENÍ DODÁVKY</w:t>
      </w:r>
    </w:p>
    <w:p w:rsidR="00B10112" w:rsidRPr="00C1136B" w:rsidRDefault="00B10112" w:rsidP="00B10112">
      <w:pPr>
        <w:pStyle w:val="Zkladntext2"/>
        <w:spacing w:line="240" w:lineRule="auto"/>
        <w:rPr>
          <w:rFonts w:cs="Arial"/>
          <w:sz w:val="20"/>
        </w:rPr>
      </w:pPr>
    </w:p>
    <w:p w:rsidR="00B10112" w:rsidRPr="00C1136B" w:rsidRDefault="00B10112" w:rsidP="00B10112">
      <w:pPr>
        <w:pStyle w:val="Zkladntext2"/>
        <w:spacing w:line="240" w:lineRule="auto"/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5.1. Množství tepla pro vytápění a pro ohřev </w:t>
      </w:r>
      <w:r w:rsidRPr="00C1136B">
        <w:rPr>
          <w:rFonts w:cs="Arial"/>
          <w:color w:val="000000"/>
          <w:sz w:val="20"/>
        </w:rPr>
        <w:t xml:space="preserve">TUV se </w:t>
      </w:r>
      <w:r>
        <w:rPr>
          <w:rFonts w:cs="Arial"/>
          <w:color w:val="000000"/>
          <w:sz w:val="20"/>
        </w:rPr>
        <w:t>zjišťuje odečtem na měřícím zařízení dodavatele</w:t>
      </w:r>
      <w:r w:rsidRPr="00C1136B">
        <w:rPr>
          <w:rFonts w:cs="Arial"/>
          <w:color w:val="000000"/>
          <w:sz w:val="20"/>
        </w:rPr>
        <w:t xml:space="preserve"> v souladu se zákonem č. 458/2000 Sb. a souvisejí</w:t>
      </w:r>
      <w:r w:rsidRPr="00C1136B">
        <w:rPr>
          <w:rFonts w:cs="Arial"/>
          <w:sz w:val="20"/>
        </w:rPr>
        <w:t>cími právními předpisy v platném znění.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5.2. Pro případ poruchy fakturačního měřiče bude odebrané množství pro vyhodnocení dodané tepelné energie st</w:t>
      </w:r>
      <w:r w:rsidRPr="00C1136B">
        <w:rPr>
          <w:rFonts w:cs="Arial"/>
          <w:sz w:val="20"/>
        </w:rPr>
        <w:t>a</w:t>
      </w:r>
      <w:r w:rsidRPr="00C1136B">
        <w:rPr>
          <w:rFonts w:cs="Arial"/>
          <w:sz w:val="20"/>
        </w:rPr>
        <w:t xml:space="preserve">noveno náhradním způsobem, a to </w:t>
      </w:r>
      <w:r w:rsidRPr="00C1136B">
        <w:rPr>
          <w:rFonts w:cs="Arial"/>
          <w:iCs/>
          <w:sz w:val="20"/>
        </w:rPr>
        <w:t>technickým výpočtem z průměrných denních dodávek před poruchou měříc</w:t>
      </w:r>
      <w:r w:rsidRPr="00C1136B">
        <w:rPr>
          <w:rFonts w:cs="Arial"/>
          <w:iCs/>
          <w:sz w:val="20"/>
        </w:rPr>
        <w:t>í</w:t>
      </w:r>
      <w:r w:rsidRPr="00C1136B">
        <w:rPr>
          <w:rFonts w:cs="Arial"/>
          <w:iCs/>
          <w:sz w:val="20"/>
        </w:rPr>
        <w:t>ho zařízení v klimaticky stejném a řádně měřeném období.</w:t>
      </w:r>
      <w:r w:rsidRPr="00C1136B">
        <w:rPr>
          <w:rFonts w:cs="Arial"/>
          <w:sz w:val="20"/>
        </w:rPr>
        <w:t xml:space="preserve"> Pokud bude množství tepelné energie stanoveno n</w:t>
      </w:r>
      <w:r w:rsidRPr="00C1136B">
        <w:rPr>
          <w:rFonts w:cs="Arial"/>
          <w:sz w:val="20"/>
        </w:rPr>
        <w:t>á</w:t>
      </w:r>
      <w:r w:rsidRPr="00C1136B">
        <w:rPr>
          <w:rFonts w:cs="Arial"/>
          <w:sz w:val="20"/>
        </w:rPr>
        <w:t>hradním způsobem, bude tato skutečnost uvedena v podkladech pro vyúčtování.</w:t>
      </w:r>
    </w:p>
    <w:p w:rsidR="00B10112" w:rsidRDefault="00B10112" w:rsidP="00B10112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5.3. Přístup k měřidlům v majetku či správě dodavatele, umístěným v objektu odběratele, za účelem odečtů měřidel bude zajištěn předáním potřebných klíčů od vstupních a spojovacích dveří v zásobovaných </w:t>
      </w:r>
      <w:r w:rsidRPr="00C1136B">
        <w:rPr>
          <w:rFonts w:cs="Arial"/>
          <w:color w:val="000000"/>
          <w:sz w:val="20"/>
        </w:rPr>
        <w:t>objektech odběrat</w:t>
      </w:r>
      <w:r w:rsidRPr="00C1136B">
        <w:rPr>
          <w:rFonts w:cs="Arial"/>
          <w:color w:val="000000"/>
          <w:sz w:val="20"/>
        </w:rPr>
        <w:t>e</w:t>
      </w:r>
      <w:r w:rsidRPr="00C1136B">
        <w:rPr>
          <w:rFonts w:cs="Arial"/>
          <w:color w:val="000000"/>
          <w:sz w:val="20"/>
        </w:rPr>
        <w:t>lem dodavateli dnem účinnosti smlouvy nebo stanovením pověřeného pracovníka</w:t>
      </w:r>
      <w:r w:rsidRPr="00C1136B">
        <w:rPr>
          <w:rFonts w:cs="Arial"/>
          <w:sz w:val="20"/>
        </w:rPr>
        <w:t xml:space="preserve"> odběratele, zajišťujícího př</w:t>
      </w:r>
      <w:r w:rsidRPr="00C1136B">
        <w:rPr>
          <w:rFonts w:cs="Arial"/>
          <w:sz w:val="20"/>
        </w:rPr>
        <w:t>í</w:t>
      </w:r>
      <w:r>
        <w:rPr>
          <w:rFonts w:cs="Arial"/>
          <w:sz w:val="20"/>
        </w:rPr>
        <w:t>stup k měřidlům, každý poslední pracovní den v měsíci, pokud následně nebude dohodnuto jinak.</w:t>
      </w:r>
    </w:p>
    <w:p w:rsidR="00B10112" w:rsidRDefault="00B10112" w:rsidP="00B10112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 xml:space="preserve">5.4. V případě odběru TUV je odběratel </w:t>
      </w:r>
      <w:r w:rsidRPr="00C1136B">
        <w:rPr>
          <w:rFonts w:cs="Arial"/>
          <w:sz w:val="20"/>
        </w:rPr>
        <w:t>povinen předložit dodavateli souhrnné údaje o odběru TUV, stanovené na základě odečtů měřidel konečné spotřeby TUV, instalovaných v jednotlivých odběrných zařízeních odběratele.</w:t>
      </w:r>
    </w:p>
    <w:p w:rsidR="00B10112" w:rsidRDefault="00B10112" w:rsidP="00B10112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5.5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Údaje předá odběratel TUV dodavateli tepla samostatně za každé odběrné místo ve smyslu platné smlouvy p</w:t>
      </w:r>
      <w:r w:rsidRPr="00C1136B">
        <w:rPr>
          <w:rFonts w:cs="Arial"/>
          <w:sz w:val="20"/>
        </w:rPr>
        <w:t>í</w:t>
      </w:r>
      <w:r w:rsidRPr="00C1136B">
        <w:rPr>
          <w:rFonts w:cs="Arial"/>
          <w:sz w:val="20"/>
        </w:rPr>
        <w:t>semně vždy do 10. ledna po skončení kalendářního roku. Za správ</w:t>
      </w:r>
      <w:r>
        <w:rPr>
          <w:rFonts w:cs="Arial"/>
          <w:sz w:val="20"/>
        </w:rPr>
        <w:t>nost údajů odpovídá výhradně</w:t>
      </w:r>
      <w:r w:rsidRPr="00C1136B">
        <w:rPr>
          <w:rFonts w:cs="Arial"/>
          <w:sz w:val="20"/>
        </w:rPr>
        <w:t xml:space="preserve"> odběratel</w:t>
      </w:r>
      <w:r>
        <w:rPr>
          <w:rFonts w:cs="Arial"/>
          <w:sz w:val="20"/>
        </w:rPr>
        <w:t xml:space="preserve"> TUV.</w:t>
      </w:r>
    </w:p>
    <w:p w:rsidR="00B10112" w:rsidRPr="00A346AB" w:rsidRDefault="00B10112" w:rsidP="00B10112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proofErr w:type="gramStart"/>
      <w:r>
        <w:rPr>
          <w:rFonts w:cs="Arial"/>
          <w:sz w:val="20"/>
        </w:rPr>
        <w:t>5.6</w:t>
      </w:r>
      <w:proofErr w:type="gramEnd"/>
      <w:r>
        <w:rPr>
          <w:rFonts w:cs="Arial"/>
          <w:sz w:val="20"/>
        </w:rPr>
        <w:t>.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V případě, že údaje měřidel TUV konečné spotřeby nebu</w:t>
      </w:r>
      <w:r>
        <w:rPr>
          <w:rFonts w:cs="Arial"/>
          <w:sz w:val="20"/>
        </w:rPr>
        <w:t xml:space="preserve">dou předány </w:t>
      </w:r>
      <w:r w:rsidRPr="00C1136B">
        <w:rPr>
          <w:rFonts w:cs="Arial"/>
          <w:sz w:val="20"/>
        </w:rPr>
        <w:t>ve stanoveném termínu, bude odběrné místo považováno za neměřené a dodávkové množství pro účely stanovení úhrady bude vyhodnoceno náhra</w:t>
      </w:r>
      <w:r w:rsidRPr="00C1136B">
        <w:rPr>
          <w:rFonts w:cs="Arial"/>
          <w:sz w:val="20"/>
        </w:rPr>
        <w:t>d</w:t>
      </w:r>
      <w:r w:rsidRPr="00C1136B">
        <w:rPr>
          <w:rFonts w:cs="Arial"/>
          <w:sz w:val="20"/>
        </w:rPr>
        <w:t>ním způsobem (dopočtem do celkově naměřené dodávky TUV). Náhradní způsob stanovení dodávky nelze zpě</w:t>
      </w:r>
      <w:r w:rsidRPr="00C1136B">
        <w:rPr>
          <w:rFonts w:cs="Arial"/>
          <w:sz w:val="20"/>
        </w:rPr>
        <w:t>t</w:t>
      </w:r>
      <w:r w:rsidRPr="00C1136B">
        <w:rPr>
          <w:rFonts w:cs="Arial"/>
          <w:sz w:val="20"/>
        </w:rPr>
        <w:t>ně měnit ani upravovat.</w:t>
      </w:r>
    </w:p>
    <w:p w:rsidR="00B10112" w:rsidRDefault="00B10112" w:rsidP="00B10112">
      <w:pPr>
        <w:jc w:val="center"/>
        <w:rPr>
          <w:rFonts w:cs="Arial"/>
          <w:b/>
          <w:bCs/>
          <w:sz w:val="20"/>
        </w:rPr>
      </w:pPr>
    </w:p>
    <w:p w:rsidR="00B10112" w:rsidRDefault="00B10112" w:rsidP="00B10112">
      <w:pPr>
        <w:jc w:val="center"/>
        <w:rPr>
          <w:rFonts w:cs="Arial"/>
          <w:b/>
          <w:bCs/>
          <w:sz w:val="20"/>
        </w:rPr>
      </w:pPr>
    </w:p>
    <w:p w:rsidR="00B10112" w:rsidRDefault="00B10112" w:rsidP="00B10112">
      <w:pPr>
        <w:jc w:val="center"/>
        <w:rPr>
          <w:rFonts w:cs="Arial"/>
          <w:b/>
          <w:sz w:val="20"/>
        </w:rPr>
      </w:pPr>
    </w:p>
    <w:p w:rsidR="00B10112" w:rsidRDefault="00B10112" w:rsidP="00B10112">
      <w:pPr>
        <w:jc w:val="center"/>
        <w:rPr>
          <w:rFonts w:cs="Arial"/>
          <w:b/>
          <w:sz w:val="20"/>
        </w:rPr>
      </w:pPr>
    </w:p>
    <w:p w:rsidR="00B10112" w:rsidRPr="00C1136B" w:rsidRDefault="00B10112" w:rsidP="00B10112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6</w:t>
      </w:r>
    </w:p>
    <w:p w:rsidR="00B10112" w:rsidRPr="00C1136B" w:rsidRDefault="00B10112" w:rsidP="00B10112">
      <w:pPr>
        <w:shd w:val="clear" w:color="auto" w:fill="C6D9F1" w:themeFill="text2" w:themeFillTint="33"/>
        <w:jc w:val="center"/>
        <w:rPr>
          <w:rFonts w:cs="Arial"/>
          <w:b/>
          <w:bCs/>
          <w:sz w:val="20"/>
          <w:lang w:val="en-US"/>
        </w:rPr>
      </w:pPr>
      <w:r w:rsidRPr="00C1136B">
        <w:rPr>
          <w:rFonts w:cs="Arial"/>
          <w:b/>
          <w:sz w:val="20"/>
        </w:rPr>
        <w:t>VÝŠE A ZPŮSOB STANOVENÍ CENY A PLATEBNÍ PODMÍNKY</w:t>
      </w:r>
    </w:p>
    <w:p w:rsidR="00B10112" w:rsidRPr="00C1136B" w:rsidRDefault="00B10112" w:rsidP="00B10112">
      <w:pPr>
        <w:jc w:val="center"/>
        <w:rPr>
          <w:rFonts w:cs="Arial"/>
          <w:b/>
          <w:bCs/>
          <w:sz w:val="20"/>
        </w:rPr>
      </w:pP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6.1. Cena tepelné energie je </w:t>
      </w:r>
      <w:r>
        <w:rPr>
          <w:rFonts w:cs="Arial"/>
          <w:sz w:val="20"/>
        </w:rPr>
        <w:t>sjednána</w:t>
      </w:r>
      <w:r w:rsidRPr="00C1136B">
        <w:rPr>
          <w:rFonts w:cs="Arial"/>
          <w:sz w:val="20"/>
        </w:rPr>
        <w:t xml:space="preserve"> v souladu se zákonem č. 526/1990 Sb., o cenách, ve znění pozdějších předp</w:t>
      </w:r>
      <w:r w:rsidRPr="00C1136B">
        <w:rPr>
          <w:rFonts w:cs="Arial"/>
          <w:sz w:val="20"/>
        </w:rPr>
        <w:t>i</w:t>
      </w:r>
      <w:r w:rsidRPr="00C1136B">
        <w:rPr>
          <w:rFonts w:cs="Arial"/>
          <w:sz w:val="20"/>
        </w:rPr>
        <w:t xml:space="preserve">sů, s prováděcí vyhláškou č. </w:t>
      </w:r>
      <w:r>
        <w:rPr>
          <w:rFonts w:cs="Arial"/>
          <w:sz w:val="20"/>
        </w:rPr>
        <w:t xml:space="preserve">450/2009 </w:t>
      </w:r>
      <w:proofErr w:type="gramStart"/>
      <w:r>
        <w:rPr>
          <w:rFonts w:cs="Arial"/>
          <w:sz w:val="20"/>
        </w:rPr>
        <w:t>Sb.</w:t>
      </w:r>
      <w:r w:rsidRPr="00C1136B">
        <w:rPr>
          <w:rFonts w:cs="Arial"/>
          <w:sz w:val="20"/>
        </w:rPr>
        <w:t>ve</w:t>
      </w:r>
      <w:proofErr w:type="gramEnd"/>
      <w:r w:rsidRPr="00C1136B">
        <w:rPr>
          <w:rFonts w:cs="Arial"/>
          <w:sz w:val="20"/>
        </w:rPr>
        <w:t xml:space="preserve"> znění pozdějších předpisů, a v souladu s platnými cenovými ro</w:t>
      </w:r>
      <w:r w:rsidRPr="00C1136B">
        <w:rPr>
          <w:rFonts w:cs="Arial"/>
          <w:sz w:val="20"/>
        </w:rPr>
        <w:t>z</w:t>
      </w:r>
      <w:r w:rsidRPr="00C1136B">
        <w:rPr>
          <w:rFonts w:cs="Arial"/>
          <w:sz w:val="20"/>
        </w:rPr>
        <w:t>hodnutími Energetického regulačního úřadu.</w:t>
      </w:r>
    </w:p>
    <w:p w:rsidR="00B10112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6.2. Cena tepelné energie, způsob jejího stanovení a způsob platby za odebranou tepelnou energii je obsahem příl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>hy č. 2 „Cenové ujednání“.</w:t>
      </w:r>
    </w:p>
    <w:p w:rsidR="00B10112" w:rsidRPr="00AE4642" w:rsidRDefault="00B10112" w:rsidP="00B10112">
      <w:pPr>
        <w:ind w:left="426" w:hanging="426"/>
        <w:rPr>
          <w:rFonts w:cs="Arial"/>
          <w:sz w:val="20"/>
        </w:rPr>
      </w:pPr>
      <w:proofErr w:type="gramStart"/>
      <w:r>
        <w:rPr>
          <w:rFonts w:cs="Arial"/>
          <w:sz w:val="20"/>
        </w:rPr>
        <w:t>6.3</w:t>
      </w:r>
      <w:proofErr w:type="gramEnd"/>
      <w:r>
        <w:rPr>
          <w:rFonts w:cs="Arial"/>
          <w:sz w:val="20"/>
        </w:rPr>
        <w:t>.</w:t>
      </w:r>
      <w:r w:rsidRPr="00AE4642">
        <w:rPr>
          <w:rFonts w:cs="Arial"/>
          <w:sz w:val="20"/>
        </w:rPr>
        <w:tab/>
        <w:t>Způsob tvorby ceny pro další období bude vycházet z principů nastavených v textu Přílohy č. 2 a to tak, že ke změně dojde na základě podpisu nového znění Přílohy č. 2, s cenami platnými pro další období, oběma smlu</w:t>
      </w:r>
      <w:r w:rsidRPr="00AE4642">
        <w:rPr>
          <w:rFonts w:cs="Arial"/>
          <w:sz w:val="20"/>
        </w:rPr>
        <w:t>v</w:t>
      </w:r>
      <w:r w:rsidRPr="00AE4642">
        <w:rPr>
          <w:rFonts w:cs="Arial"/>
          <w:sz w:val="20"/>
        </w:rPr>
        <w:t xml:space="preserve">ními stranami, aniž by smluvní strany musely uzavírat z tohoto důvodu dodatky ke Smlouvě. 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6.</w:t>
      </w:r>
      <w:r>
        <w:rPr>
          <w:rFonts w:cs="Arial"/>
          <w:sz w:val="20"/>
        </w:rPr>
        <w:t>4</w:t>
      </w:r>
      <w:r w:rsidRPr="00C1136B">
        <w:rPr>
          <w:rFonts w:cs="Arial"/>
          <w:sz w:val="20"/>
        </w:rPr>
        <w:t>. Dodavatel se zavazuje zúčtovat dílčí platby (zálohy) a vystavit potřebné platební doklady řádně, včas a ve lhůtách dohodnutých v příloze č. 2 „Cenové ujednání“.</w:t>
      </w:r>
    </w:p>
    <w:p w:rsidR="00B10112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6.</w:t>
      </w:r>
      <w:r>
        <w:rPr>
          <w:rFonts w:cs="Arial"/>
          <w:sz w:val="20"/>
        </w:rPr>
        <w:t>5</w:t>
      </w:r>
      <w:r w:rsidRPr="00C1136B">
        <w:rPr>
          <w:rFonts w:cs="Arial"/>
          <w:sz w:val="20"/>
        </w:rPr>
        <w:t>. Odběratel se zavazuje zaplatit dodavateli cenu za dodávku tepelné energie na výše uvedený účet dodavatele řádně a včas.</w:t>
      </w: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</w:p>
    <w:p w:rsidR="00B10112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čl</w:t>
      </w:r>
      <w:r w:rsidRPr="00C1136B">
        <w:rPr>
          <w:rFonts w:cs="Arial"/>
          <w:color w:val="000000"/>
          <w:sz w:val="20"/>
        </w:rPr>
        <w:t>.</w:t>
      </w:r>
      <w:r w:rsidRPr="00C1136B">
        <w:rPr>
          <w:rFonts w:cs="Arial"/>
          <w:b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7</w:t>
      </w:r>
    </w:p>
    <w:p w:rsidR="00B10112" w:rsidRPr="00C1136B" w:rsidRDefault="00B10112" w:rsidP="00B10112">
      <w:pPr>
        <w:shd w:val="clear" w:color="auto" w:fill="C6D9F1" w:themeFill="text2" w:themeFillTint="33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PRAVIDLA A PODMÍNKY DODÁVEK</w:t>
      </w:r>
    </w:p>
    <w:p w:rsidR="00B10112" w:rsidRPr="00C1136B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7.1. Pravidla dodávky tepla a dodávky teplé užitkové vody jsou dána současnými platnými právními předpisy tj. zák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 xml:space="preserve">nem č. 458/2000 Sb. v platném znění a prováděcími právními předpisy v platném znění. </w:t>
      </w:r>
    </w:p>
    <w:p w:rsidR="00B10112" w:rsidRPr="00C1136B" w:rsidRDefault="00B10112" w:rsidP="00B10112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 xml:space="preserve">7.2. Podmínky dodávek: </w:t>
      </w:r>
    </w:p>
    <w:p w:rsidR="00B10112" w:rsidRDefault="00B10112" w:rsidP="00B10112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7.2.1.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Teplota topné vody, měřená na předávací</w:t>
      </w:r>
      <w:r>
        <w:rPr>
          <w:rFonts w:cs="Arial"/>
          <w:color w:val="000000"/>
          <w:sz w:val="20"/>
        </w:rPr>
        <w:t>m</w:t>
      </w:r>
      <w:r w:rsidRPr="00C1136B">
        <w:rPr>
          <w:rFonts w:cs="Arial"/>
          <w:color w:val="000000"/>
          <w:sz w:val="20"/>
        </w:rPr>
        <w:t xml:space="preserve"> míst</w:t>
      </w:r>
      <w:r>
        <w:rPr>
          <w:rFonts w:cs="Arial"/>
          <w:color w:val="000000"/>
          <w:sz w:val="20"/>
        </w:rPr>
        <w:t>ě</w:t>
      </w:r>
      <w:r w:rsidRPr="00C1136B">
        <w:rPr>
          <w:rFonts w:cs="Arial"/>
          <w:color w:val="000000"/>
          <w:sz w:val="20"/>
        </w:rPr>
        <w:t>, sjednan</w:t>
      </w:r>
      <w:r>
        <w:rPr>
          <w:rFonts w:cs="Arial"/>
          <w:color w:val="000000"/>
          <w:sz w:val="20"/>
        </w:rPr>
        <w:t>ém</w:t>
      </w:r>
      <w:r w:rsidRPr="00C1136B">
        <w:rPr>
          <w:rFonts w:cs="Arial"/>
          <w:color w:val="000000"/>
          <w:sz w:val="20"/>
        </w:rPr>
        <w:t xml:space="preserve"> dle článku 2. Smlouvy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v době od 6</w:t>
      </w:r>
      <w:r>
        <w:rPr>
          <w:rFonts w:cs="Arial"/>
          <w:color w:val="000000"/>
          <w:sz w:val="20"/>
        </w:rPr>
        <w:t xml:space="preserve">,00 hod. </w:t>
      </w:r>
      <w:proofErr w:type="gramStart"/>
      <w:r w:rsidRPr="00C1136B">
        <w:rPr>
          <w:rFonts w:cs="Arial"/>
          <w:color w:val="000000"/>
          <w:sz w:val="20"/>
        </w:rPr>
        <w:t>do</w:t>
      </w:r>
      <w:proofErr w:type="gramEnd"/>
      <w:r w:rsidRPr="00C1136B">
        <w:rPr>
          <w:rFonts w:cs="Arial"/>
          <w:color w:val="000000"/>
          <w:sz w:val="20"/>
        </w:rPr>
        <w:t xml:space="preserve"> </w:t>
      </w:r>
    </w:p>
    <w:p w:rsidR="00B10112" w:rsidRPr="00C1136B" w:rsidRDefault="00B10112" w:rsidP="00B10112">
      <w:pPr>
        <w:ind w:left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22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>00 hod. každého dne topného období, kdy má být dodáváno teplo pro vytápění</w:t>
      </w:r>
      <w:r>
        <w:rPr>
          <w:rFonts w:cs="Arial"/>
          <w:color w:val="000000"/>
          <w:sz w:val="20"/>
        </w:rPr>
        <w:t xml:space="preserve">, je stanovena </w:t>
      </w:r>
      <w:r w:rsidRPr="00C1136B">
        <w:rPr>
          <w:rFonts w:cs="Arial"/>
          <w:color w:val="000000"/>
          <w:sz w:val="20"/>
        </w:rPr>
        <w:t xml:space="preserve">v závislosti na teplotě ovzduší v místě </w:t>
      </w:r>
      <w:r>
        <w:rPr>
          <w:rFonts w:cs="Arial"/>
          <w:color w:val="000000"/>
          <w:sz w:val="20"/>
        </w:rPr>
        <w:t xml:space="preserve">odběru (viz Příloha č. 1 – Technické parametry odběrného místa). </w:t>
      </w:r>
      <w:r w:rsidRPr="00C1136B">
        <w:rPr>
          <w:rFonts w:cs="Arial"/>
          <w:color w:val="000000"/>
          <w:sz w:val="20"/>
        </w:rPr>
        <w:t>Přípustná tol</w:t>
      </w:r>
      <w:r w:rsidRPr="00C1136B">
        <w:rPr>
          <w:rFonts w:cs="Arial"/>
          <w:color w:val="000000"/>
          <w:sz w:val="20"/>
        </w:rPr>
        <w:t>e</w:t>
      </w:r>
      <w:r w:rsidRPr="00C1136B">
        <w:rPr>
          <w:rFonts w:cs="Arial"/>
          <w:color w:val="000000"/>
          <w:sz w:val="20"/>
        </w:rPr>
        <w:t xml:space="preserve">rance teploty topné vody je </w:t>
      </w:r>
      <w:r>
        <w:rPr>
          <w:rFonts w:cs="Arial"/>
          <w:color w:val="000000"/>
          <w:sz w:val="20"/>
        </w:rPr>
        <w:t>±</w:t>
      </w:r>
      <w:r w:rsidRPr="00C1136B">
        <w:rPr>
          <w:rFonts w:cs="Arial"/>
          <w:color w:val="000000"/>
          <w:sz w:val="20"/>
        </w:rPr>
        <w:t xml:space="preserve"> 5</w:t>
      </w:r>
      <w:r>
        <w:rPr>
          <w:rFonts w:cs="Arial"/>
          <w:color w:val="000000"/>
          <w:sz w:val="20"/>
        </w:rPr>
        <w:sym w:font="Symbol" w:char="F0B0"/>
      </w:r>
      <w:r w:rsidRPr="00C1136B">
        <w:rPr>
          <w:rFonts w:cs="Arial"/>
          <w:color w:val="000000"/>
          <w:sz w:val="20"/>
        </w:rPr>
        <w:t xml:space="preserve"> C</w:t>
      </w:r>
      <w:r>
        <w:rPr>
          <w:rFonts w:cs="Arial"/>
          <w:color w:val="000000"/>
          <w:sz w:val="20"/>
        </w:rPr>
        <w:t>.</w:t>
      </w:r>
    </w:p>
    <w:p w:rsidR="00B10112" w:rsidRPr="00C1136B" w:rsidRDefault="00B10112" w:rsidP="00B10112">
      <w:pPr>
        <w:ind w:left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Nepřetržitá dodávka s </w:t>
      </w:r>
      <w:r>
        <w:rPr>
          <w:rFonts w:cs="Arial"/>
          <w:color w:val="000000"/>
          <w:sz w:val="20"/>
        </w:rPr>
        <w:t>n</w:t>
      </w:r>
      <w:r w:rsidRPr="00C1136B">
        <w:rPr>
          <w:rFonts w:cs="Arial"/>
          <w:color w:val="000000"/>
          <w:sz w:val="20"/>
        </w:rPr>
        <w:t>očním útlumem v době od 22,00 hod. do 6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>00 hod.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 xml:space="preserve"> bude uskutečňována pouze v případě celodenního poklesu venkovní teploty pod – 5°C. Jiný režim dodávky tepla</w:t>
      </w:r>
      <w:r>
        <w:rPr>
          <w:rFonts w:cs="Arial"/>
          <w:color w:val="000000"/>
          <w:sz w:val="20"/>
        </w:rPr>
        <w:t>, pokud je to technicky možné,</w:t>
      </w:r>
      <w:r w:rsidRPr="00C1136B">
        <w:rPr>
          <w:rFonts w:cs="Arial"/>
          <w:color w:val="000000"/>
          <w:sz w:val="20"/>
        </w:rPr>
        <w:t xml:space="preserve"> lze sjednat samostatnou dohodou mezi dodavatelem a odběratelem.</w:t>
      </w:r>
    </w:p>
    <w:p w:rsidR="00B10112" w:rsidRDefault="00B10112" w:rsidP="00B10112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7.2.2.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Dodavatel neodpovídá za nedostatky při plnění smlouvy, prokazatelně způsobené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havarijními situacemi a</w:t>
      </w:r>
      <w:r>
        <w:rPr>
          <w:rFonts w:cs="Arial"/>
          <w:color w:val="000000"/>
          <w:sz w:val="20"/>
        </w:rPr>
        <w:t xml:space="preserve"> </w:t>
      </w:r>
    </w:p>
    <w:p w:rsidR="00B10112" w:rsidRPr="00C1136B" w:rsidRDefault="00B10112" w:rsidP="00B10112">
      <w:pPr>
        <w:ind w:firstLine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 xml:space="preserve">provozními výpadky vzniklými u subdodavatelů – nedodání  </w:t>
      </w:r>
      <w:r>
        <w:rPr>
          <w:rFonts w:cs="Arial"/>
          <w:color w:val="000000"/>
          <w:sz w:val="20"/>
        </w:rPr>
        <w:t xml:space="preserve">el. </w:t>
      </w:r>
      <w:proofErr w:type="gramStart"/>
      <w:r w:rsidRPr="00C1136B">
        <w:rPr>
          <w:rFonts w:cs="Arial"/>
          <w:color w:val="000000"/>
          <w:sz w:val="20"/>
        </w:rPr>
        <w:t>proudu</w:t>
      </w:r>
      <w:proofErr w:type="gramEnd"/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 xml:space="preserve"> nedodání vody, výpadek plynu. </w:t>
      </w:r>
    </w:p>
    <w:p w:rsidR="00B10112" w:rsidRDefault="00B10112" w:rsidP="00B10112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7.2.3.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Dodavatel je oprávněn uplatnit přerušení nebo omezení dodávky tepla v</w:t>
      </w:r>
      <w:r>
        <w:rPr>
          <w:rFonts w:cs="Arial"/>
          <w:color w:val="000000"/>
          <w:sz w:val="20"/>
        </w:rPr>
        <w:t xml:space="preserve"> případech stanovených platnými </w:t>
      </w:r>
    </w:p>
    <w:p w:rsidR="00B10112" w:rsidRDefault="00B10112" w:rsidP="00B10112">
      <w:pPr>
        <w:ind w:firstLine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 xml:space="preserve">předpisy a písemně oznámit odběrateli </w:t>
      </w:r>
      <w:r>
        <w:rPr>
          <w:rFonts w:cs="Arial"/>
          <w:color w:val="000000"/>
          <w:sz w:val="20"/>
        </w:rPr>
        <w:t>15 dnů</w:t>
      </w:r>
      <w:r w:rsidRPr="00C1136B">
        <w:rPr>
          <w:rFonts w:cs="Arial"/>
          <w:color w:val="000000"/>
          <w:sz w:val="20"/>
        </w:rPr>
        <w:t xml:space="preserve"> před účinností. </w:t>
      </w:r>
    </w:p>
    <w:p w:rsidR="00B10112" w:rsidRDefault="00B10112" w:rsidP="00B10112">
      <w:pPr>
        <w:ind w:firstLine="708"/>
        <w:rPr>
          <w:rFonts w:cs="Arial"/>
          <w:color w:val="000000"/>
          <w:sz w:val="20"/>
        </w:rPr>
      </w:pPr>
    </w:p>
    <w:p w:rsidR="00B10112" w:rsidRDefault="00B10112" w:rsidP="00B10112">
      <w:pPr>
        <w:ind w:firstLine="708"/>
        <w:rPr>
          <w:rFonts w:cs="Arial"/>
          <w:color w:val="000000"/>
          <w:sz w:val="20"/>
        </w:rPr>
      </w:pPr>
    </w:p>
    <w:p w:rsidR="00B10112" w:rsidRPr="00C1136B" w:rsidRDefault="00B10112" w:rsidP="00B10112">
      <w:pPr>
        <w:ind w:firstLine="708"/>
        <w:rPr>
          <w:rFonts w:cs="Arial"/>
          <w:color w:val="000000"/>
          <w:sz w:val="20"/>
        </w:rPr>
      </w:pPr>
    </w:p>
    <w:p w:rsidR="00B10112" w:rsidRPr="00C1136B" w:rsidRDefault="00B10112" w:rsidP="00B10112">
      <w:pPr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čl</w:t>
      </w:r>
      <w:r w:rsidRPr="00C1136B">
        <w:rPr>
          <w:rFonts w:cs="Arial"/>
          <w:color w:val="000000"/>
          <w:sz w:val="20"/>
        </w:rPr>
        <w:t>.</w:t>
      </w:r>
      <w:r w:rsidRPr="00C1136B">
        <w:rPr>
          <w:rFonts w:cs="Arial"/>
          <w:b/>
          <w:color w:val="000000"/>
          <w:sz w:val="20"/>
        </w:rPr>
        <w:t xml:space="preserve"> 8</w:t>
      </w:r>
    </w:p>
    <w:p w:rsidR="00B10112" w:rsidRPr="00C1136B" w:rsidRDefault="00B10112" w:rsidP="00B10112">
      <w:pPr>
        <w:shd w:val="clear" w:color="auto" w:fill="C6D9F1" w:themeFill="text2" w:themeFillTint="33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SMLUVNÍ POKUTY</w:t>
      </w:r>
    </w:p>
    <w:p w:rsidR="00B10112" w:rsidRPr="00C1136B" w:rsidRDefault="00B10112" w:rsidP="00B10112">
      <w:pPr>
        <w:pStyle w:val="Zkladntext2"/>
        <w:spacing w:line="240" w:lineRule="auto"/>
        <w:ind w:left="390"/>
        <w:rPr>
          <w:rFonts w:cs="Arial"/>
          <w:color w:val="000000"/>
          <w:sz w:val="20"/>
        </w:rPr>
      </w:pPr>
    </w:p>
    <w:p w:rsidR="00B10112" w:rsidRPr="00C1136B" w:rsidRDefault="00B10112" w:rsidP="00B10112">
      <w:pPr>
        <w:pStyle w:val="Zkladntext2"/>
        <w:spacing w:line="240" w:lineRule="auto"/>
        <w:ind w:left="426" w:hanging="426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8.1. Při prokázaném neoprávněném odběru uhradí odběratel dodavateli veškeré vzniklé škody. Co se rozumí ne</w:t>
      </w:r>
      <w:r w:rsidRPr="00C1136B">
        <w:rPr>
          <w:rFonts w:cs="Arial"/>
          <w:color w:val="000000"/>
          <w:sz w:val="20"/>
        </w:rPr>
        <w:t>o</w:t>
      </w:r>
      <w:r w:rsidRPr="00C1136B">
        <w:rPr>
          <w:rFonts w:cs="Arial"/>
          <w:color w:val="000000"/>
          <w:sz w:val="20"/>
        </w:rPr>
        <w:t>právněným odběrem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 xml:space="preserve"> stanoví § 89 </w:t>
      </w:r>
      <w:r>
        <w:rPr>
          <w:rFonts w:cs="Arial"/>
          <w:color w:val="000000"/>
          <w:sz w:val="20"/>
        </w:rPr>
        <w:t>zákona</w:t>
      </w:r>
      <w:r w:rsidRPr="00C1136B">
        <w:rPr>
          <w:rFonts w:cs="Arial"/>
          <w:color w:val="000000"/>
          <w:sz w:val="20"/>
        </w:rPr>
        <w:t xml:space="preserve"> 4</w:t>
      </w:r>
      <w:r>
        <w:rPr>
          <w:rFonts w:cs="Arial"/>
          <w:color w:val="000000"/>
          <w:sz w:val="20"/>
        </w:rPr>
        <w:t>5</w:t>
      </w:r>
      <w:r w:rsidRPr="00C1136B">
        <w:rPr>
          <w:rFonts w:cs="Arial"/>
          <w:color w:val="000000"/>
          <w:sz w:val="20"/>
        </w:rPr>
        <w:t xml:space="preserve">8/2000 Sb. V případě poškození měřidel tepla bude dodávkové množství resp. výše vzniklé škody, stanoveno postupem v souladu s platnými předpisy. </w:t>
      </w:r>
    </w:p>
    <w:p w:rsidR="00B10112" w:rsidRPr="00C1136B" w:rsidRDefault="00B10112" w:rsidP="00B10112">
      <w:pPr>
        <w:pStyle w:val="Zkladntext2"/>
        <w:spacing w:line="240" w:lineRule="auto"/>
        <w:ind w:left="426" w:hanging="426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8.2. V případě ztráty teplonosného média prokazatelně vzniklého za místem předání dle článku 2., bude jeho hodnota stanovena technickým výpočtem a vyúčtována odběrateli. V případě prokázaného svévolného odběru teplono</w:t>
      </w:r>
      <w:r w:rsidRPr="00C1136B">
        <w:rPr>
          <w:rFonts w:cs="Arial"/>
          <w:color w:val="000000"/>
          <w:sz w:val="20"/>
        </w:rPr>
        <w:t>s</w:t>
      </w:r>
      <w:r w:rsidRPr="00C1136B">
        <w:rPr>
          <w:rFonts w:cs="Arial"/>
          <w:color w:val="000000"/>
          <w:sz w:val="20"/>
        </w:rPr>
        <w:t>ného média uhradí odběratel dodavateli navíc jednorázovou smluvní pokutu ve výši Kč 5 000,-.</w:t>
      </w:r>
    </w:p>
    <w:p w:rsidR="00B10112" w:rsidRPr="00C1136B" w:rsidRDefault="00B10112" w:rsidP="00B10112">
      <w:pPr>
        <w:pStyle w:val="Zkladntext2"/>
        <w:spacing w:line="240" w:lineRule="auto"/>
        <w:ind w:left="426" w:hanging="426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8.</w:t>
      </w:r>
      <w:r>
        <w:rPr>
          <w:rFonts w:cs="Arial"/>
          <w:color w:val="000000"/>
          <w:sz w:val="20"/>
        </w:rPr>
        <w:t>3</w:t>
      </w:r>
      <w:r w:rsidRPr="00C1136B">
        <w:rPr>
          <w:rFonts w:cs="Arial"/>
          <w:color w:val="000000"/>
          <w:sz w:val="20"/>
        </w:rPr>
        <w:t>. Ustanovení tohoto článku smlouvy nevylučují uplatnění slev a postihů podle obecně závazných právních předp</w:t>
      </w:r>
      <w:r w:rsidRPr="00C1136B">
        <w:rPr>
          <w:rFonts w:cs="Arial"/>
          <w:color w:val="000000"/>
          <w:sz w:val="20"/>
        </w:rPr>
        <w:t>i</w:t>
      </w:r>
      <w:r w:rsidRPr="00C1136B">
        <w:rPr>
          <w:rFonts w:cs="Arial"/>
          <w:color w:val="000000"/>
          <w:sz w:val="20"/>
        </w:rPr>
        <w:t>sů.</w:t>
      </w:r>
    </w:p>
    <w:p w:rsidR="00B10112" w:rsidRDefault="00B10112" w:rsidP="00B10112">
      <w:pPr>
        <w:rPr>
          <w:rFonts w:cs="Arial"/>
          <w:color w:val="000000"/>
          <w:sz w:val="20"/>
        </w:rPr>
      </w:pPr>
    </w:p>
    <w:p w:rsidR="00B10112" w:rsidRPr="00C1136B" w:rsidRDefault="00B10112" w:rsidP="00B10112">
      <w:pPr>
        <w:rPr>
          <w:rFonts w:cs="Arial"/>
          <w:color w:val="000000"/>
          <w:sz w:val="20"/>
        </w:rPr>
      </w:pPr>
    </w:p>
    <w:p w:rsidR="00B10112" w:rsidRPr="00C1136B" w:rsidRDefault="00B10112" w:rsidP="00B10112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9</w:t>
      </w:r>
    </w:p>
    <w:p w:rsidR="00B10112" w:rsidRPr="00A00DAE" w:rsidRDefault="00B10112" w:rsidP="00B10112">
      <w:pPr>
        <w:shd w:val="clear" w:color="auto" w:fill="C6D9F1" w:themeFill="text2" w:themeFillTint="33"/>
        <w:jc w:val="center"/>
        <w:rPr>
          <w:rFonts w:cs="Arial"/>
          <w:b/>
          <w:bCs/>
          <w:sz w:val="20"/>
        </w:rPr>
      </w:pPr>
      <w:r w:rsidRPr="00A00DAE">
        <w:rPr>
          <w:rFonts w:cs="Arial"/>
          <w:b/>
          <w:bCs/>
          <w:sz w:val="20"/>
        </w:rPr>
        <w:t xml:space="preserve">DOBA TRVÁNÍ SMLOUVY </w:t>
      </w:r>
    </w:p>
    <w:p w:rsidR="00B10112" w:rsidRPr="00C1136B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rPr>
          <w:rFonts w:cs="Arial"/>
          <w:sz w:val="20"/>
        </w:rPr>
      </w:pPr>
      <w:r w:rsidRPr="00C1136B">
        <w:rPr>
          <w:rFonts w:cs="Arial"/>
          <w:sz w:val="20"/>
        </w:rPr>
        <w:t>9.1. Smlouva se uzavírá na dobu neurčitou.</w:t>
      </w:r>
    </w:p>
    <w:p w:rsidR="00B10112" w:rsidRDefault="00B10112" w:rsidP="00B10112">
      <w:pPr>
        <w:rPr>
          <w:rFonts w:cs="Arial"/>
          <w:sz w:val="20"/>
        </w:rPr>
      </w:pPr>
      <w:r w:rsidRPr="00C1136B">
        <w:rPr>
          <w:rFonts w:cs="Arial"/>
          <w:sz w:val="20"/>
        </w:rPr>
        <w:t xml:space="preserve">9.2. Smluvní strany se dohodly, že tato smlouva nabývá účinnosti </w:t>
      </w:r>
      <w:r w:rsidRPr="001B5F2B">
        <w:rPr>
          <w:rFonts w:cs="Arial"/>
          <w:sz w:val="20"/>
        </w:rPr>
        <w:t xml:space="preserve">dnem </w:t>
      </w:r>
      <w:r w:rsidR="00470BD6">
        <w:rPr>
          <w:rFonts w:cs="Arial"/>
          <w:color w:val="000000" w:themeColor="text1"/>
          <w:sz w:val="20"/>
        </w:rPr>
        <w:t>podpisu obou smluvních stran.</w:t>
      </w:r>
      <w:bookmarkStart w:id="0" w:name="_GoBack"/>
      <w:bookmarkEnd w:id="0"/>
    </w:p>
    <w:p w:rsidR="00B10112" w:rsidRPr="004F7B72" w:rsidRDefault="00B10112" w:rsidP="00B10112">
      <w:pPr>
        <w:rPr>
          <w:rFonts w:cs="Arial"/>
          <w:color w:val="000000" w:themeColor="text1"/>
          <w:sz w:val="20"/>
        </w:rPr>
      </w:pPr>
      <w:r w:rsidRPr="004F7B72">
        <w:rPr>
          <w:rFonts w:cs="Arial"/>
          <w:color w:val="000000" w:themeColor="text1"/>
          <w:sz w:val="20"/>
        </w:rPr>
        <w:t>9.3. T</w:t>
      </w:r>
      <w:r>
        <w:rPr>
          <w:rFonts w:cs="Arial"/>
          <w:color w:val="000000" w:themeColor="text1"/>
          <w:sz w:val="20"/>
        </w:rPr>
        <w:t>ato smlouva nahrazuje veškeré předchozí vydané Smlouvy o dodávce tepelné energie vč. příloh a dodatků.</w:t>
      </w:r>
    </w:p>
    <w:p w:rsidR="00B10112" w:rsidRPr="00CC303E" w:rsidRDefault="00B10112" w:rsidP="00B10112">
      <w:pPr>
        <w:rPr>
          <w:rFonts w:cs="Arial"/>
          <w:color w:val="FF0000"/>
          <w:sz w:val="20"/>
        </w:rPr>
      </w:pPr>
    </w:p>
    <w:p w:rsidR="00B10112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rPr>
          <w:rFonts w:cs="Arial"/>
          <w:sz w:val="20"/>
        </w:rPr>
      </w:pPr>
    </w:p>
    <w:p w:rsidR="00B10112" w:rsidRPr="00C1136B" w:rsidRDefault="00B10112" w:rsidP="00B10112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10</w:t>
      </w:r>
    </w:p>
    <w:p w:rsidR="00B10112" w:rsidRPr="00C1136B" w:rsidRDefault="00B10112" w:rsidP="00B10112">
      <w:pPr>
        <w:shd w:val="clear" w:color="auto" w:fill="C6D9F1" w:themeFill="text2" w:themeFillTint="33"/>
        <w:jc w:val="center"/>
        <w:rPr>
          <w:rFonts w:cs="Arial"/>
          <w:b/>
          <w:bCs/>
          <w:sz w:val="20"/>
          <w:lang w:val="en-US"/>
        </w:rPr>
      </w:pPr>
      <w:r w:rsidRPr="00C1136B">
        <w:rPr>
          <w:rFonts w:cs="Arial"/>
          <w:b/>
          <w:bCs/>
          <w:sz w:val="20"/>
          <w:lang w:val="en-US"/>
        </w:rPr>
        <w:t xml:space="preserve">VÝPOVĚĎ A ODSTOUPENÍ OD SMLOUVY </w:t>
      </w:r>
    </w:p>
    <w:p w:rsidR="00B10112" w:rsidRPr="00C1136B" w:rsidRDefault="00B10112" w:rsidP="00B10112">
      <w:pPr>
        <w:rPr>
          <w:rFonts w:cs="Arial"/>
          <w:sz w:val="20"/>
        </w:rPr>
      </w:pPr>
    </w:p>
    <w:p w:rsidR="007B0682" w:rsidRPr="007B0682" w:rsidRDefault="007B0682" w:rsidP="007B0682">
      <w:pPr>
        <w:rPr>
          <w:rFonts w:cs="Arial"/>
          <w:sz w:val="20"/>
        </w:rPr>
      </w:pPr>
      <w:r w:rsidRPr="007B0682">
        <w:rPr>
          <w:rFonts w:cs="Arial"/>
          <w:sz w:val="20"/>
        </w:rPr>
        <w:t xml:space="preserve">10.1. Smluvní strany se dohodly, že nastanou-li důvody k vypovězení smlouvy, má přednost dohoda obou stran. </w:t>
      </w:r>
    </w:p>
    <w:p w:rsidR="007B0682" w:rsidRPr="007B0682" w:rsidRDefault="007B0682" w:rsidP="007B0682">
      <w:pPr>
        <w:rPr>
          <w:rFonts w:cs="Arial"/>
          <w:sz w:val="20"/>
        </w:rPr>
      </w:pPr>
      <w:r w:rsidRPr="007B0682">
        <w:rPr>
          <w:rFonts w:cs="Arial"/>
          <w:sz w:val="20"/>
        </w:rPr>
        <w:t xml:space="preserve">          Smluvní strany se dále dohodly, že pro výpověď a výpovědní lhůtu platí ustanovení bodu XIII. 11 Nájemní </w:t>
      </w:r>
    </w:p>
    <w:p w:rsidR="007B0682" w:rsidRPr="007B0682" w:rsidRDefault="007B0682" w:rsidP="007B0682">
      <w:pPr>
        <w:rPr>
          <w:rFonts w:cs="Arial"/>
          <w:sz w:val="20"/>
        </w:rPr>
      </w:pPr>
      <w:r w:rsidRPr="007B0682">
        <w:rPr>
          <w:rFonts w:cs="Arial"/>
          <w:sz w:val="20"/>
        </w:rPr>
        <w:t xml:space="preserve">          smlouvy č. 0140/2009 ze dne 30. 4. 2009. </w:t>
      </w:r>
    </w:p>
    <w:p w:rsidR="007B0682" w:rsidRPr="007B0682" w:rsidRDefault="007B0682" w:rsidP="007B0682">
      <w:pPr>
        <w:rPr>
          <w:rFonts w:cs="Arial"/>
          <w:sz w:val="20"/>
        </w:rPr>
      </w:pPr>
      <w:r w:rsidRPr="007B0682">
        <w:rPr>
          <w:rFonts w:cs="Arial"/>
          <w:sz w:val="20"/>
        </w:rPr>
        <w:t>10.2.  K datu ukončení smluvního vztahu se obě strany zavazují vyrovnat vzájemně své závazky a pohledávky.</w:t>
      </w:r>
    </w:p>
    <w:p w:rsidR="007B0682" w:rsidRPr="007B0682" w:rsidRDefault="007B0682" w:rsidP="007B0682">
      <w:pPr>
        <w:rPr>
          <w:rFonts w:cs="Arial"/>
          <w:sz w:val="20"/>
        </w:rPr>
      </w:pPr>
      <w:r w:rsidRPr="007B0682">
        <w:rPr>
          <w:rFonts w:cs="Arial"/>
          <w:sz w:val="20"/>
        </w:rPr>
        <w:t xml:space="preserve">10.3. V případě zániku jedné ze smluvních stran přechází práva a povinnosti sjednané v této smlouvě v plném </w:t>
      </w:r>
      <w:proofErr w:type="spellStart"/>
      <w:r w:rsidRPr="007B0682">
        <w:rPr>
          <w:rFonts w:cs="Arial"/>
          <w:sz w:val="20"/>
        </w:rPr>
        <w:t>rozsa</w:t>
      </w:r>
      <w:proofErr w:type="spellEnd"/>
      <w:r w:rsidRPr="007B0682">
        <w:rPr>
          <w:rFonts w:cs="Arial"/>
          <w:sz w:val="20"/>
        </w:rPr>
        <w:t>-</w:t>
      </w:r>
    </w:p>
    <w:p w:rsidR="00B10112" w:rsidRDefault="007B0682" w:rsidP="007B0682">
      <w:pPr>
        <w:rPr>
          <w:rFonts w:cs="Arial"/>
          <w:color w:val="000000"/>
          <w:sz w:val="20"/>
        </w:rPr>
      </w:pPr>
      <w:r w:rsidRPr="007B0682">
        <w:rPr>
          <w:rFonts w:cs="Arial"/>
          <w:sz w:val="20"/>
        </w:rPr>
        <w:t xml:space="preserve">          </w:t>
      </w:r>
      <w:proofErr w:type="spellStart"/>
      <w:r w:rsidRPr="007B0682">
        <w:rPr>
          <w:rFonts w:cs="Arial"/>
          <w:sz w:val="20"/>
        </w:rPr>
        <w:t>hu</w:t>
      </w:r>
      <w:proofErr w:type="spellEnd"/>
      <w:r w:rsidRPr="007B0682">
        <w:rPr>
          <w:rFonts w:cs="Arial"/>
          <w:sz w:val="20"/>
        </w:rPr>
        <w:t xml:space="preserve"> na právního nástupce, nedohodnou-li se smluvní strany před zánikem jinak.</w:t>
      </w:r>
      <w:r>
        <w:rPr>
          <w:rFonts w:cs="Arial"/>
          <w:color w:val="000000"/>
          <w:sz w:val="20"/>
        </w:rPr>
        <w:t xml:space="preserve"> </w:t>
      </w:r>
    </w:p>
    <w:p w:rsidR="00B10112" w:rsidRPr="00C1136B" w:rsidRDefault="00B10112" w:rsidP="00B10112">
      <w:pPr>
        <w:pStyle w:val="pevnedaje"/>
        <w:rPr>
          <w:rFonts w:cs="Arial"/>
          <w:color w:val="000000"/>
          <w:sz w:val="20"/>
        </w:rPr>
      </w:pPr>
    </w:p>
    <w:p w:rsidR="00B10112" w:rsidRPr="00C1136B" w:rsidRDefault="00B10112" w:rsidP="00B10112">
      <w:pPr>
        <w:pStyle w:val="pevnedaje"/>
        <w:rPr>
          <w:rFonts w:cs="Arial"/>
          <w:color w:val="000000"/>
          <w:sz w:val="20"/>
        </w:rPr>
      </w:pPr>
    </w:p>
    <w:p w:rsidR="00B10112" w:rsidRPr="00CC303E" w:rsidRDefault="00B10112" w:rsidP="00B10112">
      <w:pPr>
        <w:jc w:val="center"/>
        <w:rPr>
          <w:rFonts w:cs="Arial"/>
          <w:b/>
          <w:sz w:val="20"/>
        </w:rPr>
      </w:pPr>
      <w:r w:rsidRPr="00CC303E">
        <w:rPr>
          <w:rFonts w:cs="Arial"/>
          <w:b/>
          <w:sz w:val="20"/>
        </w:rPr>
        <w:t>čl. 11</w:t>
      </w:r>
    </w:p>
    <w:p w:rsidR="00B10112" w:rsidRPr="00A00DAE" w:rsidRDefault="00B10112" w:rsidP="00B10112">
      <w:pPr>
        <w:shd w:val="clear" w:color="auto" w:fill="C6D9F1" w:themeFill="text2" w:themeFillTint="33"/>
        <w:jc w:val="center"/>
        <w:rPr>
          <w:rFonts w:cs="Arial"/>
          <w:b/>
          <w:bCs/>
          <w:sz w:val="20"/>
        </w:rPr>
      </w:pPr>
      <w:r w:rsidRPr="00A00DAE">
        <w:rPr>
          <w:rFonts w:cs="Arial"/>
          <w:b/>
          <w:bCs/>
          <w:sz w:val="20"/>
        </w:rPr>
        <w:t>OSTATNÍ A ZÁVĚREČNÁ UJEDNÁNÍ</w:t>
      </w:r>
    </w:p>
    <w:p w:rsidR="00B10112" w:rsidRPr="00C1136B" w:rsidRDefault="00B10112" w:rsidP="00B10112">
      <w:pPr>
        <w:jc w:val="center"/>
        <w:rPr>
          <w:rFonts w:cs="Arial"/>
          <w:b/>
          <w:color w:val="000000"/>
          <w:sz w:val="20"/>
        </w:rPr>
      </w:pPr>
    </w:p>
    <w:p w:rsidR="00B10112" w:rsidRPr="00C1136B" w:rsidRDefault="00B10112" w:rsidP="00B10112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11.1.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 xml:space="preserve">Právní smluvní vztahy mezi smluvními stranami se řídí českým právním řádem. Tato smlouva podléhá režimu zákona č. 458/2000 Sb., </w:t>
      </w:r>
      <w:r>
        <w:rPr>
          <w:rFonts w:cs="Arial"/>
          <w:sz w:val="20"/>
        </w:rPr>
        <w:t>„E</w:t>
      </w:r>
      <w:r w:rsidRPr="00C1136B">
        <w:rPr>
          <w:rFonts w:cs="Arial"/>
          <w:sz w:val="20"/>
        </w:rPr>
        <w:t>nergetický zákon</w:t>
      </w:r>
      <w:r>
        <w:rPr>
          <w:rFonts w:cs="Arial"/>
          <w:sz w:val="20"/>
        </w:rPr>
        <w:t>“</w:t>
      </w:r>
      <w:r w:rsidRPr="00C1136B">
        <w:rPr>
          <w:rFonts w:cs="Arial"/>
          <w:sz w:val="20"/>
        </w:rPr>
        <w:t>, ve znění pozdějších právních předpisů.</w:t>
      </w:r>
    </w:p>
    <w:p w:rsidR="00B10112" w:rsidRPr="00C1136B" w:rsidRDefault="00B10112" w:rsidP="00B10112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11.2.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 xml:space="preserve">Ustanovení, zde výslovně neupravené, podléhají zákonu č. </w:t>
      </w:r>
      <w:r>
        <w:rPr>
          <w:rFonts w:cs="Arial"/>
          <w:sz w:val="20"/>
        </w:rPr>
        <w:t>89</w:t>
      </w:r>
      <w:r w:rsidRPr="00C1136B">
        <w:rPr>
          <w:rFonts w:cs="Arial"/>
          <w:sz w:val="20"/>
        </w:rPr>
        <w:t>/</w:t>
      </w:r>
      <w:r>
        <w:rPr>
          <w:rFonts w:cs="Arial"/>
          <w:sz w:val="20"/>
        </w:rPr>
        <w:t>2012</w:t>
      </w:r>
      <w:r w:rsidRPr="00C1136B">
        <w:rPr>
          <w:rFonts w:cs="Arial"/>
          <w:sz w:val="20"/>
        </w:rPr>
        <w:t xml:space="preserve"> Sb., </w:t>
      </w:r>
      <w:r>
        <w:rPr>
          <w:rFonts w:cs="Arial"/>
          <w:sz w:val="20"/>
        </w:rPr>
        <w:t>„O</w:t>
      </w:r>
      <w:r w:rsidRPr="00C1136B">
        <w:rPr>
          <w:rFonts w:cs="Arial"/>
          <w:sz w:val="20"/>
        </w:rPr>
        <w:t>bčanský zákoník</w:t>
      </w:r>
      <w:r>
        <w:rPr>
          <w:rFonts w:cs="Arial"/>
          <w:sz w:val="20"/>
        </w:rPr>
        <w:t>“</w:t>
      </w:r>
      <w:r w:rsidRPr="00C1136B">
        <w:rPr>
          <w:rFonts w:cs="Arial"/>
          <w:sz w:val="20"/>
        </w:rPr>
        <w:t>, ve znění pozdě</w:t>
      </w:r>
      <w:r w:rsidRPr="00C1136B">
        <w:rPr>
          <w:rFonts w:cs="Arial"/>
          <w:sz w:val="20"/>
        </w:rPr>
        <w:t>j</w:t>
      </w:r>
      <w:r w:rsidRPr="00C1136B">
        <w:rPr>
          <w:rFonts w:cs="Arial"/>
          <w:sz w:val="20"/>
        </w:rPr>
        <w:t>ších právních předpisů.</w:t>
      </w:r>
    </w:p>
    <w:p w:rsidR="00B10112" w:rsidRPr="00C1136B" w:rsidRDefault="00B10112" w:rsidP="00B10112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11.3.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 xml:space="preserve">Jakákoli změna smluvních podmínek, dohodnutých touto smlouvou včetně příloh, může být provedena pouze </w:t>
      </w:r>
      <w:r>
        <w:rPr>
          <w:rFonts w:cs="Arial"/>
          <w:sz w:val="20"/>
        </w:rPr>
        <w:t xml:space="preserve">písemnou </w:t>
      </w:r>
      <w:r w:rsidRPr="00C1136B">
        <w:rPr>
          <w:rFonts w:cs="Arial"/>
          <w:sz w:val="20"/>
        </w:rPr>
        <w:t>formou</w:t>
      </w:r>
      <w:r>
        <w:rPr>
          <w:rFonts w:cs="Arial"/>
          <w:sz w:val="20"/>
        </w:rPr>
        <w:t>.</w:t>
      </w:r>
    </w:p>
    <w:p w:rsidR="00B10112" w:rsidRPr="00C1136B" w:rsidRDefault="00B10112" w:rsidP="00B10112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11.4.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Smlouva je sepsána v 2 vyhotoveních, z nichž 1 vyhotovení obdrží dodavatel a 1</w:t>
      </w:r>
      <w:r>
        <w:rPr>
          <w:rFonts w:cs="Arial"/>
          <w:sz w:val="20"/>
        </w:rPr>
        <w:t xml:space="preserve"> </w:t>
      </w:r>
      <w:r w:rsidRPr="00C1136B">
        <w:rPr>
          <w:rFonts w:cs="Arial"/>
          <w:sz w:val="20"/>
        </w:rPr>
        <w:t>vyhotovení obdrží odběratel.</w:t>
      </w:r>
    </w:p>
    <w:p w:rsidR="00B10112" w:rsidRPr="00C1136B" w:rsidRDefault="00B10112" w:rsidP="00B10112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11.5.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Smluvní strany svými podpisy potvrzují, že smlouvu uzavřely dobrovolně a vážně, určitě a srozumitelně podle své pravé a svobodné vůle, nikoliv v tísni nebo za nápadně nevýhodných podmínek.</w:t>
      </w:r>
    </w:p>
    <w:p w:rsidR="00B10112" w:rsidRDefault="00B10112" w:rsidP="00B10112"/>
    <w:p w:rsidR="005B0A38" w:rsidRPr="00C1136B" w:rsidRDefault="005B0A38" w:rsidP="00470BCC">
      <w:pPr>
        <w:rPr>
          <w:rFonts w:cs="Arial"/>
          <w:sz w:val="20"/>
        </w:rPr>
      </w:pPr>
    </w:p>
    <w:p w:rsidR="00470BCC" w:rsidRPr="00C1136B" w:rsidRDefault="00470BCC" w:rsidP="00470BCC">
      <w:pPr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Přílohy:</w:t>
      </w:r>
    </w:p>
    <w:p w:rsidR="00470BCC" w:rsidRPr="00C1136B" w:rsidRDefault="00470BCC" w:rsidP="00470BCC">
      <w:pPr>
        <w:rPr>
          <w:rFonts w:cs="Arial"/>
          <w:sz w:val="20"/>
        </w:rPr>
      </w:pPr>
      <w:r w:rsidRPr="00C1136B">
        <w:rPr>
          <w:rFonts w:cs="Arial"/>
          <w:sz w:val="20"/>
        </w:rPr>
        <w:t>Příloha č. 1: Technické parametry</w:t>
      </w:r>
      <w:r w:rsidR="00CC303E">
        <w:rPr>
          <w:rFonts w:cs="Arial"/>
          <w:sz w:val="20"/>
        </w:rPr>
        <w:t xml:space="preserve"> </w:t>
      </w:r>
      <w:r w:rsidRPr="00C1136B">
        <w:rPr>
          <w:rFonts w:cs="Arial"/>
          <w:sz w:val="20"/>
        </w:rPr>
        <w:t>odběrného místa</w:t>
      </w:r>
    </w:p>
    <w:p w:rsidR="00B95B51" w:rsidRPr="00C1136B" w:rsidRDefault="00470BCC" w:rsidP="00470BCC">
      <w:pPr>
        <w:rPr>
          <w:rFonts w:cs="Arial"/>
          <w:sz w:val="20"/>
        </w:rPr>
      </w:pPr>
      <w:r w:rsidRPr="00C1136B">
        <w:rPr>
          <w:rFonts w:cs="Arial"/>
          <w:sz w:val="20"/>
        </w:rPr>
        <w:t>Příloha č. 2: Cenové ujednání</w:t>
      </w:r>
    </w:p>
    <w:p w:rsidR="00A25709" w:rsidRDefault="00A25709" w:rsidP="00A25709">
      <w:pPr>
        <w:rPr>
          <w:rFonts w:cs="Arial"/>
          <w:sz w:val="20"/>
        </w:rPr>
      </w:pPr>
    </w:p>
    <w:p w:rsidR="00AA40F5" w:rsidRPr="00CE4252" w:rsidRDefault="00AA40F5" w:rsidP="00A25709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4B5986" w:rsidRPr="00CE4252" w:rsidRDefault="000E7837" w:rsidP="004B5986">
      <w:pPr>
        <w:rPr>
          <w:rFonts w:cs="Arial"/>
          <w:sz w:val="20"/>
        </w:rPr>
      </w:pPr>
      <w:r>
        <w:rPr>
          <w:rFonts w:cs="Arial"/>
          <w:sz w:val="20"/>
        </w:rPr>
        <w:t>V Milevsku dne:……………………</w:t>
      </w:r>
      <w:r w:rsidR="00CC303E">
        <w:rPr>
          <w:rFonts w:cs="Arial"/>
          <w:sz w:val="20"/>
        </w:rPr>
        <w:t>……….</w:t>
      </w:r>
      <w:r w:rsidR="004B5986">
        <w:rPr>
          <w:rFonts w:cs="Arial"/>
          <w:sz w:val="20"/>
        </w:rPr>
        <w:tab/>
      </w:r>
      <w:r w:rsidR="004B5986">
        <w:rPr>
          <w:rFonts w:cs="Arial"/>
          <w:sz w:val="20"/>
        </w:rPr>
        <w:tab/>
      </w:r>
      <w:r w:rsidR="00CC303E">
        <w:rPr>
          <w:rFonts w:cs="Arial"/>
          <w:sz w:val="20"/>
        </w:rPr>
        <w:tab/>
      </w:r>
      <w:r w:rsidR="00CC303E">
        <w:rPr>
          <w:rFonts w:cs="Arial"/>
          <w:sz w:val="20"/>
        </w:rPr>
        <w:tab/>
      </w:r>
      <w:r w:rsidR="004B5986">
        <w:rPr>
          <w:rFonts w:cs="Arial"/>
          <w:sz w:val="20"/>
        </w:rPr>
        <w:t>V Milevsku dne:…………………</w:t>
      </w:r>
      <w:r w:rsidR="00B318C0">
        <w:rPr>
          <w:rFonts w:cs="Arial"/>
          <w:sz w:val="20"/>
        </w:rPr>
        <w:t>………</w:t>
      </w:r>
      <w:proofErr w:type="gramStart"/>
      <w:r w:rsidR="004B5986">
        <w:rPr>
          <w:rFonts w:cs="Arial"/>
          <w:sz w:val="20"/>
        </w:rPr>
        <w:t>…..</w:t>
      </w:r>
      <w:proofErr w:type="gramEnd"/>
    </w:p>
    <w:p w:rsidR="008C5514" w:rsidRPr="00CE4252" w:rsidRDefault="008C5514" w:rsidP="008C5514">
      <w:pPr>
        <w:rPr>
          <w:rFonts w:cs="Arial"/>
          <w:sz w:val="20"/>
        </w:rPr>
      </w:pPr>
    </w:p>
    <w:p w:rsidR="001A5CE5" w:rsidRDefault="001A5CE5" w:rsidP="008C5514">
      <w:pPr>
        <w:rPr>
          <w:rFonts w:cs="Arial"/>
          <w:sz w:val="20"/>
        </w:rPr>
      </w:pPr>
    </w:p>
    <w:p w:rsidR="001A5CE5" w:rsidRDefault="001A5CE5" w:rsidP="008C5514">
      <w:pPr>
        <w:rPr>
          <w:rFonts w:cs="Arial"/>
          <w:sz w:val="20"/>
        </w:rPr>
      </w:pPr>
    </w:p>
    <w:p w:rsidR="001A5CE5" w:rsidRDefault="001A5CE5" w:rsidP="008C5514">
      <w:pPr>
        <w:rPr>
          <w:rFonts w:cs="Arial"/>
          <w:sz w:val="20"/>
        </w:rPr>
      </w:pPr>
    </w:p>
    <w:p w:rsidR="00CC303E" w:rsidRDefault="00CC303E" w:rsidP="008C5514">
      <w:pPr>
        <w:rPr>
          <w:rFonts w:cs="Arial"/>
          <w:sz w:val="20"/>
        </w:rPr>
      </w:pPr>
    </w:p>
    <w:p w:rsidR="00CC303E" w:rsidRPr="00CE4252" w:rsidRDefault="00CC303E" w:rsidP="008C5514">
      <w:pPr>
        <w:rPr>
          <w:rFonts w:cs="Arial"/>
          <w:sz w:val="20"/>
        </w:rPr>
      </w:pPr>
    </w:p>
    <w:p w:rsidR="00CC303E" w:rsidRPr="00CC303E" w:rsidRDefault="00CC303E" w:rsidP="00CC303E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………………………………………………..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  <w:t>………………………………………………..</w:t>
      </w:r>
    </w:p>
    <w:p w:rsidR="00B318C0" w:rsidRDefault="00CC303E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b/>
          <w:sz w:val="20"/>
        </w:rPr>
        <w:t xml:space="preserve">   </w:t>
      </w:r>
      <w:r w:rsidR="00B318C0" w:rsidRPr="00CC303E">
        <w:rPr>
          <w:rFonts w:cs="Arial"/>
          <w:b/>
          <w:sz w:val="20"/>
        </w:rPr>
        <w:t>Ing. Vladimír Krejčí, jednatel</w:t>
      </w:r>
      <w:r w:rsidR="00B318C0" w:rsidRPr="00CC303E">
        <w:rPr>
          <w:rFonts w:cs="Arial"/>
          <w:sz w:val="20"/>
        </w:rPr>
        <w:t xml:space="preserve"> </w:t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  <w:t xml:space="preserve">         </w:t>
      </w:r>
      <w:r w:rsidR="001E6C67" w:rsidRPr="001E6C67">
        <w:rPr>
          <w:rFonts w:cs="Arial"/>
          <w:b/>
          <w:sz w:val="20"/>
        </w:rPr>
        <w:t>Ing. Ivan Radosta, starosta</w:t>
      </w:r>
    </w:p>
    <w:p w:rsidR="00857E97" w:rsidRPr="00CC303E" w:rsidRDefault="00AA40F5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dodavatel</w:t>
      </w:r>
      <w:r w:rsidR="003C5B88" w:rsidRPr="00CC303E">
        <w:rPr>
          <w:rFonts w:cs="Arial"/>
          <w:sz w:val="20"/>
        </w:rPr>
        <w:t xml:space="preserve"> -</w:t>
      </w:r>
      <w:r w:rsidRPr="00CC303E">
        <w:rPr>
          <w:rFonts w:cs="Arial"/>
          <w:sz w:val="20"/>
        </w:rPr>
        <w:t xml:space="preserve"> ZVVZ ENERGO,</w:t>
      </w:r>
      <w:r w:rsidR="00B318C0">
        <w:rPr>
          <w:rFonts w:cs="Arial"/>
          <w:sz w:val="20"/>
        </w:rPr>
        <w:t xml:space="preserve"> </w:t>
      </w:r>
      <w:r w:rsidRPr="00CC303E">
        <w:rPr>
          <w:rFonts w:cs="Arial"/>
          <w:sz w:val="20"/>
        </w:rPr>
        <w:t>s.r.o.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="00CC303E">
        <w:rPr>
          <w:rFonts w:cs="Arial"/>
          <w:sz w:val="20"/>
        </w:rPr>
        <w:t xml:space="preserve">                         </w:t>
      </w:r>
      <w:r w:rsidRPr="00CC303E">
        <w:rPr>
          <w:rFonts w:cs="Arial"/>
          <w:sz w:val="20"/>
        </w:rPr>
        <w:t>odběratel</w:t>
      </w:r>
    </w:p>
    <w:p w:rsidR="00857E97" w:rsidRPr="00CC303E" w:rsidRDefault="003C5B88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ab/>
        <w:t>razítko, podpis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="00CC303E">
        <w:rPr>
          <w:rFonts w:cs="Arial"/>
          <w:sz w:val="20"/>
        </w:rPr>
        <w:t xml:space="preserve">                     </w:t>
      </w:r>
      <w:r w:rsidRPr="00CC303E">
        <w:rPr>
          <w:rFonts w:cs="Arial"/>
          <w:sz w:val="20"/>
        </w:rPr>
        <w:t>razítko, podpis</w:t>
      </w: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CC303E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………………………………………………..</w:t>
      </w:r>
    </w:p>
    <w:p w:rsidR="00B318C0" w:rsidRPr="00CC303E" w:rsidRDefault="00B318C0" w:rsidP="00B318C0">
      <w:pPr>
        <w:pStyle w:val="pevnedaje"/>
        <w:rPr>
          <w:rFonts w:cs="Arial"/>
          <w:b/>
          <w:sz w:val="20"/>
        </w:rPr>
      </w:pPr>
      <w:r w:rsidRPr="00CC303E">
        <w:rPr>
          <w:rFonts w:cs="Arial"/>
          <w:b/>
          <w:sz w:val="20"/>
        </w:rPr>
        <w:t xml:space="preserve">   Mi</w:t>
      </w:r>
      <w:r>
        <w:rPr>
          <w:rFonts w:cs="Arial"/>
          <w:b/>
          <w:sz w:val="20"/>
        </w:rPr>
        <w:t>l</w:t>
      </w:r>
      <w:r w:rsidRPr="00CC303E">
        <w:rPr>
          <w:rFonts w:cs="Arial"/>
          <w:b/>
          <w:sz w:val="20"/>
        </w:rPr>
        <w:t>oslav Skalický</w:t>
      </w:r>
      <w:r w:rsidR="001A5CE5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jednatel</w:t>
      </w:r>
    </w:p>
    <w:p w:rsidR="00B318C0" w:rsidRPr="00CC303E" w:rsidRDefault="00B318C0" w:rsidP="00B318C0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dodavatel - ZVVZ ENERGO,</w:t>
      </w:r>
      <w:r>
        <w:rPr>
          <w:rFonts w:cs="Arial"/>
          <w:sz w:val="20"/>
        </w:rPr>
        <w:t xml:space="preserve"> </w:t>
      </w:r>
      <w:r w:rsidRPr="00CC303E">
        <w:rPr>
          <w:rFonts w:cs="Arial"/>
          <w:sz w:val="20"/>
        </w:rPr>
        <w:t>s.r.o.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</w:p>
    <w:p w:rsidR="00B318C0" w:rsidRPr="00CC303E" w:rsidRDefault="00B318C0" w:rsidP="00B318C0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ab/>
        <w:t>razítko, podpis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</w:p>
    <w:p w:rsidR="00CC303E" w:rsidRPr="00CC303E" w:rsidRDefault="00CC303E" w:rsidP="003C5B88">
      <w:pPr>
        <w:pStyle w:val="pevnedaje"/>
        <w:ind w:firstLine="708"/>
        <w:rPr>
          <w:rFonts w:cs="Arial"/>
          <w:sz w:val="20"/>
        </w:rPr>
      </w:pPr>
    </w:p>
    <w:sectPr w:rsidR="00CC303E" w:rsidRPr="00CC303E" w:rsidSect="00CC303E">
      <w:headerReference w:type="default" r:id="rId9"/>
      <w:footerReference w:type="default" r:id="rId10"/>
      <w:pgSz w:w="11907" w:h="16840" w:code="9"/>
      <w:pgMar w:top="720" w:right="720" w:bottom="720" w:left="720" w:header="708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63" w:rsidRDefault="007E2663">
      <w:r>
        <w:separator/>
      </w:r>
    </w:p>
  </w:endnote>
  <w:endnote w:type="continuationSeparator" w:id="0">
    <w:p w:rsidR="007E2663" w:rsidRDefault="007E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6" w:rsidRDefault="00042306" w:rsidP="00E03950">
    <w:pPr>
      <w:pStyle w:val="pevnedaje"/>
      <w:tabs>
        <w:tab w:val="left" w:pos="2268"/>
      </w:tabs>
      <w:jc w:val="center"/>
    </w:pPr>
    <w:r>
      <w:t xml:space="preserve">strana </w:t>
    </w:r>
    <w:r w:rsidR="00E96799">
      <w:rPr>
        <w:rStyle w:val="slostrnky"/>
        <w:noProof w:val="0"/>
        <w:sz w:val="22"/>
      </w:rPr>
      <w:fldChar w:fldCharType="begin"/>
    </w:r>
    <w:r>
      <w:rPr>
        <w:rStyle w:val="slostrnky"/>
        <w:noProof w:val="0"/>
        <w:sz w:val="22"/>
      </w:rPr>
      <w:instrText xml:space="preserve"> PAGE </w:instrText>
    </w:r>
    <w:r w:rsidR="00E96799">
      <w:rPr>
        <w:rStyle w:val="slostrnky"/>
        <w:noProof w:val="0"/>
        <w:sz w:val="22"/>
      </w:rPr>
      <w:fldChar w:fldCharType="separate"/>
    </w:r>
    <w:r w:rsidR="00470BD6">
      <w:rPr>
        <w:rStyle w:val="slostrnky"/>
        <w:sz w:val="22"/>
      </w:rPr>
      <w:t>1</w:t>
    </w:r>
    <w:r w:rsidR="00E96799">
      <w:rPr>
        <w:rStyle w:val="slostrnky"/>
        <w:noProof w:val="0"/>
        <w:sz w:val="22"/>
      </w:rPr>
      <w:fldChar w:fldCharType="end"/>
    </w:r>
  </w:p>
  <w:p w:rsidR="00042306" w:rsidRDefault="000423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63" w:rsidRDefault="007E2663">
      <w:r>
        <w:separator/>
      </w:r>
    </w:p>
  </w:footnote>
  <w:footnote w:type="continuationSeparator" w:id="0">
    <w:p w:rsidR="007E2663" w:rsidRDefault="007E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6" w:rsidRDefault="00202FEA">
    <w:pPr>
      <w:pStyle w:val="pevnedaje"/>
      <w:tabs>
        <w:tab w:val="left" w:pos="2268"/>
      </w:tabs>
      <w:jc w:val="left"/>
    </w:pPr>
    <w: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4758055</wp:posOffset>
          </wp:positionH>
          <wp:positionV relativeFrom="paragraph">
            <wp:posOffset>-115570</wp:posOffset>
          </wp:positionV>
          <wp:extent cx="2020570" cy="597535"/>
          <wp:effectExtent l="19050" t="0" r="0" b="0"/>
          <wp:wrapSquare wrapText="bothSides"/>
          <wp:docPr id="2" name="obrázek 2" descr="ZVVZ_EG_clen skup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VVZ_EG_clen skup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97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3D53">
      <w:rPr>
        <w:b/>
      </w:rPr>
      <w:t>ZVVZ ENERGO</w:t>
    </w:r>
    <w:r w:rsidR="00C865D4">
      <w:rPr>
        <w:b/>
      </w:rPr>
      <w:t>,</w:t>
    </w:r>
    <w:r w:rsidR="00042306">
      <w:rPr>
        <w:b/>
      </w:rPr>
      <w:t xml:space="preserve"> s.r.o., </w:t>
    </w:r>
    <w:r w:rsidR="00042306">
      <w:t>Sa</w:t>
    </w:r>
    <w:r w:rsidR="00042306">
      <w:sym w:font="Arial" w:char="017E"/>
    </w:r>
    <w:r w:rsidR="00042306">
      <w:t xml:space="preserve">inova 888, 399 </w:t>
    </w:r>
    <w:r w:rsidR="007627D2">
      <w:t>01</w:t>
    </w:r>
    <w:r w:rsidR="00042306">
      <w:rPr>
        <w:b/>
      </w:rPr>
      <w:t xml:space="preserve"> Milevsko </w:t>
    </w:r>
    <w:r w:rsidR="00042306">
      <w:t xml:space="preserve">– ČR </w:t>
    </w:r>
    <w:r w:rsidR="000E7837">
      <w:tab/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>IČ: 28085230, DIČ: CZ28085230; Peněžní ústav:  Komerční banka a.s.</w:t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 xml:space="preserve">č. účtu: 43-2358480247/0100 </w:t>
    </w:r>
  </w:p>
  <w:p w:rsidR="00042306" w:rsidRDefault="00042306" w:rsidP="00CC303E">
    <w:pPr>
      <w:pStyle w:val="pevnedaje"/>
      <w:pBdr>
        <w:bottom w:val="single" w:sz="4" w:space="1" w:color="auto"/>
      </w:pBdr>
      <w:tabs>
        <w:tab w:val="left" w:pos="2268"/>
      </w:tabs>
      <w:jc w:val="left"/>
      <w:rPr>
        <w:sz w:val="16"/>
      </w:rPr>
    </w:pPr>
    <w:r>
      <w:rPr>
        <w:sz w:val="16"/>
      </w:rPr>
      <w:t>Obchodní rejstřík: Krajský soud České Budějovice, oddíl C, vložka</w:t>
    </w:r>
    <w:r w:rsidR="0072604C">
      <w:rPr>
        <w:sz w:val="16"/>
      </w:rPr>
      <w:t xml:space="preserve"> </w:t>
    </w:r>
    <w:r>
      <w:rPr>
        <w:sz w:val="16"/>
      </w:rPr>
      <w:t>16346</w:t>
    </w:r>
  </w:p>
  <w:p w:rsidR="00CC303E" w:rsidRDefault="00CC303E" w:rsidP="00CC303E">
    <w:pPr>
      <w:pStyle w:val="pevnedaje"/>
      <w:pBdr>
        <w:bottom w:val="single" w:sz="4" w:space="1" w:color="auto"/>
      </w:pBdr>
      <w:tabs>
        <w:tab w:val="left" w:pos="2268"/>
      </w:tabs>
      <w:jc w:val="left"/>
      <w:rPr>
        <w:sz w:val="16"/>
      </w:rPr>
    </w:pP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EE"/>
    <w:multiLevelType w:val="multilevel"/>
    <w:tmpl w:val="0AD88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1551A3A"/>
    <w:multiLevelType w:val="hybridMultilevel"/>
    <w:tmpl w:val="F454F1F4"/>
    <w:lvl w:ilvl="0" w:tplc="E0EA175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12200535"/>
    <w:multiLevelType w:val="multilevel"/>
    <w:tmpl w:val="9FAAD3F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1F541ED3"/>
    <w:multiLevelType w:val="multilevel"/>
    <w:tmpl w:val="C5F27BFC"/>
    <w:lvl w:ilvl="0">
      <w:start w:val="15"/>
      <w:numFmt w:val="upperRoman"/>
      <w:lvlText w:val="%1."/>
      <w:lvlJc w:val="center"/>
      <w:pPr>
        <w:tabs>
          <w:tab w:val="num" w:pos="390"/>
        </w:tabs>
        <w:ind w:left="390" w:hanging="1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306EAF"/>
    <w:multiLevelType w:val="multilevel"/>
    <w:tmpl w:val="DEBED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16D6562"/>
    <w:multiLevelType w:val="hybridMultilevel"/>
    <w:tmpl w:val="61E8870C"/>
    <w:lvl w:ilvl="0" w:tplc="CE0C6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761EF8" w:tentative="1">
      <w:start w:val="1"/>
      <w:numFmt w:val="lowerLetter"/>
      <w:lvlText w:val="%2."/>
      <w:lvlJc w:val="left"/>
      <w:pPr>
        <w:ind w:left="1440" w:hanging="360"/>
      </w:pPr>
    </w:lvl>
    <w:lvl w:ilvl="2" w:tplc="60F40A52" w:tentative="1">
      <w:start w:val="1"/>
      <w:numFmt w:val="lowerRoman"/>
      <w:lvlText w:val="%3."/>
      <w:lvlJc w:val="right"/>
      <w:pPr>
        <w:ind w:left="2160" w:hanging="180"/>
      </w:pPr>
    </w:lvl>
    <w:lvl w:ilvl="3" w:tplc="623C2E1A" w:tentative="1">
      <w:start w:val="1"/>
      <w:numFmt w:val="decimal"/>
      <w:lvlText w:val="%4."/>
      <w:lvlJc w:val="left"/>
      <w:pPr>
        <w:ind w:left="2880" w:hanging="360"/>
      </w:pPr>
    </w:lvl>
    <w:lvl w:ilvl="4" w:tplc="16B0BC66" w:tentative="1">
      <w:start w:val="1"/>
      <w:numFmt w:val="lowerLetter"/>
      <w:lvlText w:val="%5."/>
      <w:lvlJc w:val="left"/>
      <w:pPr>
        <w:ind w:left="3600" w:hanging="360"/>
      </w:pPr>
    </w:lvl>
    <w:lvl w:ilvl="5" w:tplc="231AE712" w:tentative="1">
      <w:start w:val="1"/>
      <w:numFmt w:val="lowerRoman"/>
      <w:lvlText w:val="%6."/>
      <w:lvlJc w:val="right"/>
      <w:pPr>
        <w:ind w:left="4320" w:hanging="180"/>
      </w:pPr>
    </w:lvl>
    <w:lvl w:ilvl="6" w:tplc="633C7CD2" w:tentative="1">
      <w:start w:val="1"/>
      <w:numFmt w:val="decimal"/>
      <w:lvlText w:val="%7."/>
      <w:lvlJc w:val="left"/>
      <w:pPr>
        <w:ind w:left="5040" w:hanging="360"/>
      </w:pPr>
    </w:lvl>
    <w:lvl w:ilvl="7" w:tplc="054A4F2A" w:tentative="1">
      <w:start w:val="1"/>
      <w:numFmt w:val="lowerLetter"/>
      <w:lvlText w:val="%8."/>
      <w:lvlJc w:val="left"/>
      <w:pPr>
        <w:ind w:left="5760" w:hanging="360"/>
      </w:pPr>
    </w:lvl>
    <w:lvl w:ilvl="8" w:tplc="5BD2F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377E3"/>
    <w:multiLevelType w:val="singleLevel"/>
    <w:tmpl w:val="5898211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0FA3D64"/>
    <w:multiLevelType w:val="hybridMultilevel"/>
    <w:tmpl w:val="FA3EEA20"/>
    <w:lvl w:ilvl="0" w:tplc="87E4E00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>
    <w:nsid w:val="5780139A"/>
    <w:multiLevelType w:val="hybridMultilevel"/>
    <w:tmpl w:val="7180D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6A5C94"/>
    <w:multiLevelType w:val="hybridMultilevel"/>
    <w:tmpl w:val="E1FC39F0"/>
    <w:lvl w:ilvl="0" w:tplc="CFA22B8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0">
    <w:nsid w:val="6424092D"/>
    <w:multiLevelType w:val="singleLevel"/>
    <w:tmpl w:val="5898211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>
    <w:nsid w:val="77B82E7E"/>
    <w:multiLevelType w:val="singleLevel"/>
    <w:tmpl w:val="544C7DB0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2">
    <w:nsid w:val="799C3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10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</w:num>
  <w:num w:numId="13">
    <w:abstractNumId w:val="4"/>
  </w:num>
  <w:num w:numId="14">
    <w:abstractNumId w:val="12"/>
  </w:num>
  <w:num w:numId="15">
    <w:abstractNumId w:val="8"/>
  </w:num>
  <w:num w:numId="16">
    <w:abstractNumId w:val="7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553"/>
    <w:rsid w:val="0001672C"/>
    <w:rsid w:val="00020459"/>
    <w:rsid w:val="000315A2"/>
    <w:rsid w:val="0003235C"/>
    <w:rsid w:val="000403F6"/>
    <w:rsid w:val="00040E29"/>
    <w:rsid w:val="00042306"/>
    <w:rsid w:val="00064483"/>
    <w:rsid w:val="0007774B"/>
    <w:rsid w:val="00092D5B"/>
    <w:rsid w:val="000A19D8"/>
    <w:rsid w:val="000A29D3"/>
    <w:rsid w:val="000A4F4A"/>
    <w:rsid w:val="000B7751"/>
    <w:rsid w:val="000C495B"/>
    <w:rsid w:val="000C5F94"/>
    <w:rsid w:val="000D11E4"/>
    <w:rsid w:val="000D19B0"/>
    <w:rsid w:val="000D2A05"/>
    <w:rsid w:val="000E7837"/>
    <w:rsid w:val="000F75FC"/>
    <w:rsid w:val="00104C9D"/>
    <w:rsid w:val="00105479"/>
    <w:rsid w:val="00106320"/>
    <w:rsid w:val="001070C5"/>
    <w:rsid w:val="00110428"/>
    <w:rsid w:val="00116FAD"/>
    <w:rsid w:val="00124BA9"/>
    <w:rsid w:val="00130C02"/>
    <w:rsid w:val="00135597"/>
    <w:rsid w:val="00143949"/>
    <w:rsid w:val="00150054"/>
    <w:rsid w:val="00153139"/>
    <w:rsid w:val="001610A6"/>
    <w:rsid w:val="001626C2"/>
    <w:rsid w:val="00163E95"/>
    <w:rsid w:val="00167B93"/>
    <w:rsid w:val="00172440"/>
    <w:rsid w:val="00174743"/>
    <w:rsid w:val="00175E59"/>
    <w:rsid w:val="001762F3"/>
    <w:rsid w:val="0017633F"/>
    <w:rsid w:val="00176AA5"/>
    <w:rsid w:val="00184835"/>
    <w:rsid w:val="00185897"/>
    <w:rsid w:val="00196DE2"/>
    <w:rsid w:val="001A1D4F"/>
    <w:rsid w:val="001A3F2F"/>
    <w:rsid w:val="001A5AF6"/>
    <w:rsid w:val="001A5CE5"/>
    <w:rsid w:val="001B0F1D"/>
    <w:rsid w:val="001B13DE"/>
    <w:rsid w:val="001B4FF3"/>
    <w:rsid w:val="001B5F2B"/>
    <w:rsid w:val="001C230A"/>
    <w:rsid w:val="001C7070"/>
    <w:rsid w:val="001E0EAF"/>
    <w:rsid w:val="001E2711"/>
    <w:rsid w:val="001E2809"/>
    <w:rsid w:val="001E6C67"/>
    <w:rsid w:val="001F79D7"/>
    <w:rsid w:val="0020064E"/>
    <w:rsid w:val="00202FEA"/>
    <w:rsid w:val="00206A22"/>
    <w:rsid w:val="0020772A"/>
    <w:rsid w:val="00216205"/>
    <w:rsid w:val="00220890"/>
    <w:rsid w:val="00241DE0"/>
    <w:rsid w:val="00265E67"/>
    <w:rsid w:val="00267631"/>
    <w:rsid w:val="00267CB8"/>
    <w:rsid w:val="00270B7A"/>
    <w:rsid w:val="00287437"/>
    <w:rsid w:val="002C5020"/>
    <w:rsid w:val="002C6059"/>
    <w:rsid w:val="002D22C1"/>
    <w:rsid w:val="002D46D2"/>
    <w:rsid w:val="002D7DC5"/>
    <w:rsid w:val="002F3EAE"/>
    <w:rsid w:val="002F49C3"/>
    <w:rsid w:val="00310C38"/>
    <w:rsid w:val="00340CE9"/>
    <w:rsid w:val="0034188E"/>
    <w:rsid w:val="00342250"/>
    <w:rsid w:val="00365950"/>
    <w:rsid w:val="00373D95"/>
    <w:rsid w:val="00373F46"/>
    <w:rsid w:val="0037487C"/>
    <w:rsid w:val="00376C15"/>
    <w:rsid w:val="003821DB"/>
    <w:rsid w:val="00386A4C"/>
    <w:rsid w:val="00392336"/>
    <w:rsid w:val="003B3A5E"/>
    <w:rsid w:val="003B6415"/>
    <w:rsid w:val="003B6FB9"/>
    <w:rsid w:val="003C33BA"/>
    <w:rsid w:val="003C5B88"/>
    <w:rsid w:val="003D694B"/>
    <w:rsid w:val="003E0891"/>
    <w:rsid w:val="003E5425"/>
    <w:rsid w:val="00410BD5"/>
    <w:rsid w:val="0041275A"/>
    <w:rsid w:val="00415923"/>
    <w:rsid w:val="00420A2D"/>
    <w:rsid w:val="0042254D"/>
    <w:rsid w:val="00433AC3"/>
    <w:rsid w:val="00434409"/>
    <w:rsid w:val="00437021"/>
    <w:rsid w:val="004464CD"/>
    <w:rsid w:val="0045345D"/>
    <w:rsid w:val="00461129"/>
    <w:rsid w:val="00470BCC"/>
    <w:rsid w:val="00470BD6"/>
    <w:rsid w:val="00472C9F"/>
    <w:rsid w:val="00482227"/>
    <w:rsid w:val="0048223A"/>
    <w:rsid w:val="004B2EA6"/>
    <w:rsid w:val="004B5986"/>
    <w:rsid w:val="004C0CFC"/>
    <w:rsid w:val="004C3ABE"/>
    <w:rsid w:val="004C4091"/>
    <w:rsid w:val="004C5600"/>
    <w:rsid w:val="004D599C"/>
    <w:rsid w:val="004E00CC"/>
    <w:rsid w:val="004E37E5"/>
    <w:rsid w:val="004E411F"/>
    <w:rsid w:val="004E73E1"/>
    <w:rsid w:val="004F10FC"/>
    <w:rsid w:val="004F7566"/>
    <w:rsid w:val="004F7B72"/>
    <w:rsid w:val="004F7D62"/>
    <w:rsid w:val="00503818"/>
    <w:rsid w:val="005109BB"/>
    <w:rsid w:val="00511B6A"/>
    <w:rsid w:val="0051271C"/>
    <w:rsid w:val="005158B6"/>
    <w:rsid w:val="00527A1C"/>
    <w:rsid w:val="0053616A"/>
    <w:rsid w:val="00537910"/>
    <w:rsid w:val="00541D59"/>
    <w:rsid w:val="00541F4D"/>
    <w:rsid w:val="005428A3"/>
    <w:rsid w:val="00565C0D"/>
    <w:rsid w:val="00575F49"/>
    <w:rsid w:val="00582771"/>
    <w:rsid w:val="00583D53"/>
    <w:rsid w:val="00593FED"/>
    <w:rsid w:val="0059696F"/>
    <w:rsid w:val="005B0A38"/>
    <w:rsid w:val="005B51FE"/>
    <w:rsid w:val="005C048A"/>
    <w:rsid w:val="005D428E"/>
    <w:rsid w:val="005E7CCB"/>
    <w:rsid w:val="005F5BBA"/>
    <w:rsid w:val="00602F3D"/>
    <w:rsid w:val="00611E59"/>
    <w:rsid w:val="006165CE"/>
    <w:rsid w:val="006359A2"/>
    <w:rsid w:val="006360D8"/>
    <w:rsid w:val="00640829"/>
    <w:rsid w:val="00647BD6"/>
    <w:rsid w:val="00650084"/>
    <w:rsid w:val="0065701E"/>
    <w:rsid w:val="0066741C"/>
    <w:rsid w:val="00684228"/>
    <w:rsid w:val="00685A08"/>
    <w:rsid w:val="006A2D94"/>
    <w:rsid w:val="006D6318"/>
    <w:rsid w:val="006E18B2"/>
    <w:rsid w:val="006E684C"/>
    <w:rsid w:val="006F39FA"/>
    <w:rsid w:val="00701E9F"/>
    <w:rsid w:val="00707076"/>
    <w:rsid w:val="007170AE"/>
    <w:rsid w:val="0072604C"/>
    <w:rsid w:val="00740730"/>
    <w:rsid w:val="00746357"/>
    <w:rsid w:val="00754657"/>
    <w:rsid w:val="0076121D"/>
    <w:rsid w:val="007627D2"/>
    <w:rsid w:val="00763A43"/>
    <w:rsid w:val="0076749D"/>
    <w:rsid w:val="00771EAF"/>
    <w:rsid w:val="0077703C"/>
    <w:rsid w:val="00777CEE"/>
    <w:rsid w:val="00783F5F"/>
    <w:rsid w:val="00795185"/>
    <w:rsid w:val="007970F9"/>
    <w:rsid w:val="007A7C65"/>
    <w:rsid w:val="007B0682"/>
    <w:rsid w:val="007B1C2E"/>
    <w:rsid w:val="007B290B"/>
    <w:rsid w:val="007B2E4F"/>
    <w:rsid w:val="007C1C53"/>
    <w:rsid w:val="007C27E6"/>
    <w:rsid w:val="007C2C41"/>
    <w:rsid w:val="007C41C9"/>
    <w:rsid w:val="007E1694"/>
    <w:rsid w:val="007E2663"/>
    <w:rsid w:val="007E37F9"/>
    <w:rsid w:val="007F028D"/>
    <w:rsid w:val="00804C58"/>
    <w:rsid w:val="00807291"/>
    <w:rsid w:val="00813313"/>
    <w:rsid w:val="00821946"/>
    <w:rsid w:val="0083539F"/>
    <w:rsid w:val="0084106C"/>
    <w:rsid w:val="00843F3F"/>
    <w:rsid w:val="00845EF8"/>
    <w:rsid w:val="00853C85"/>
    <w:rsid w:val="00857E97"/>
    <w:rsid w:val="00864D89"/>
    <w:rsid w:val="008653C8"/>
    <w:rsid w:val="00892EAB"/>
    <w:rsid w:val="008A7B80"/>
    <w:rsid w:val="008B3B90"/>
    <w:rsid w:val="008B7E82"/>
    <w:rsid w:val="008C027B"/>
    <w:rsid w:val="008C036A"/>
    <w:rsid w:val="008C5514"/>
    <w:rsid w:val="008D5169"/>
    <w:rsid w:val="008D6156"/>
    <w:rsid w:val="008E5198"/>
    <w:rsid w:val="008E638D"/>
    <w:rsid w:val="008F7535"/>
    <w:rsid w:val="008F7A4E"/>
    <w:rsid w:val="009042BC"/>
    <w:rsid w:val="00910C0C"/>
    <w:rsid w:val="0091261A"/>
    <w:rsid w:val="00913DD5"/>
    <w:rsid w:val="00925BA8"/>
    <w:rsid w:val="00942EFD"/>
    <w:rsid w:val="009503C5"/>
    <w:rsid w:val="00950588"/>
    <w:rsid w:val="009511D6"/>
    <w:rsid w:val="00951B49"/>
    <w:rsid w:val="0096139C"/>
    <w:rsid w:val="00961975"/>
    <w:rsid w:val="00963768"/>
    <w:rsid w:val="00965491"/>
    <w:rsid w:val="00965554"/>
    <w:rsid w:val="00966C02"/>
    <w:rsid w:val="009736C7"/>
    <w:rsid w:val="009808E1"/>
    <w:rsid w:val="00983CF5"/>
    <w:rsid w:val="0098497B"/>
    <w:rsid w:val="00992BC2"/>
    <w:rsid w:val="009A245C"/>
    <w:rsid w:val="009B3F88"/>
    <w:rsid w:val="009B7111"/>
    <w:rsid w:val="009C5AB3"/>
    <w:rsid w:val="009C692D"/>
    <w:rsid w:val="009C6A73"/>
    <w:rsid w:val="009E2258"/>
    <w:rsid w:val="009E43A2"/>
    <w:rsid w:val="009F1F28"/>
    <w:rsid w:val="00A00DAE"/>
    <w:rsid w:val="00A143A9"/>
    <w:rsid w:val="00A249CD"/>
    <w:rsid w:val="00A25709"/>
    <w:rsid w:val="00A346AB"/>
    <w:rsid w:val="00A37F76"/>
    <w:rsid w:val="00A4691A"/>
    <w:rsid w:val="00A47EE5"/>
    <w:rsid w:val="00A50F1A"/>
    <w:rsid w:val="00A51E22"/>
    <w:rsid w:val="00A60010"/>
    <w:rsid w:val="00A733B7"/>
    <w:rsid w:val="00A74BB3"/>
    <w:rsid w:val="00A82268"/>
    <w:rsid w:val="00A84913"/>
    <w:rsid w:val="00A864AD"/>
    <w:rsid w:val="00A87D50"/>
    <w:rsid w:val="00A93253"/>
    <w:rsid w:val="00A949A8"/>
    <w:rsid w:val="00AA40F5"/>
    <w:rsid w:val="00AB5295"/>
    <w:rsid w:val="00AB6ECE"/>
    <w:rsid w:val="00AB74F7"/>
    <w:rsid w:val="00AC607B"/>
    <w:rsid w:val="00AD4FA7"/>
    <w:rsid w:val="00AD72A0"/>
    <w:rsid w:val="00AE36D4"/>
    <w:rsid w:val="00AE453F"/>
    <w:rsid w:val="00AE4642"/>
    <w:rsid w:val="00B05E41"/>
    <w:rsid w:val="00B10112"/>
    <w:rsid w:val="00B15132"/>
    <w:rsid w:val="00B2235E"/>
    <w:rsid w:val="00B23173"/>
    <w:rsid w:val="00B27BB0"/>
    <w:rsid w:val="00B318C0"/>
    <w:rsid w:val="00B519C2"/>
    <w:rsid w:val="00B84AFD"/>
    <w:rsid w:val="00B86722"/>
    <w:rsid w:val="00B86E3A"/>
    <w:rsid w:val="00B9435E"/>
    <w:rsid w:val="00B95B51"/>
    <w:rsid w:val="00BA13C3"/>
    <w:rsid w:val="00BA2C5B"/>
    <w:rsid w:val="00BA77FD"/>
    <w:rsid w:val="00BB14D7"/>
    <w:rsid w:val="00BC002F"/>
    <w:rsid w:val="00BC1901"/>
    <w:rsid w:val="00BC4F84"/>
    <w:rsid w:val="00BC5467"/>
    <w:rsid w:val="00BD2727"/>
    <w:rsid w:val="00BE08E7"/>
    <w:rsid w:val="00BE2208"/>
    <w:rsid w:val="00BE4FF4"/>
    <w:rsid w:val="00BF5DDD"/>
    <w:rsid w:val="00C01E3F"/>
    <w:rsid w:val="00C063D7"/>
    <w:rsid w:val="00C0797A"/>
    <w:rsid w:val="00C1136B"/>
    <w:rsid w:val="00C12EB0"/>
    <w:rsid w:val="00C23931"/>
    <w:rsid w:val="00C30D3E"/>
    <w:rsid w:val="00C36CDD"/>
    <w:rsid w:val="00C47B7A"/>
    <w:rsid w:val="00C5331E"/>
    <w:rsid w:val="00C548ED"/>
    <w:rsid w:val="00C57A87"/>
    <w:rsid w:val="00C57E1B"/>
    <w:rsid w:val="00C65F09"/>
    <w:rsid w:val="00C73CEF"/>
    <w:rsid w:val="00C7461E"/>
    <w:rsid w:val="00C7522F"/>
    <w:rsid w:val="00C775EE"/>
    <w:rsid w:val="00C800F7"/>
    <w:rsid w:val="00C846C3"/>
    <w:rsid w:val="00C85E41"/>
    <w:rsid w:val="00C865D4"/>
    <w:rsid w:val="00C920B5"/>
    <w:rsid w:val="00CB39A3"/>
    <w:rsid w:val="00CB47D1"/>
    <w:rsid w:val="00CB74A9"/>
    <w:rsid w:val="00CC303E"/>
    <w:rsid w:val="00CC3096"/>
    <w:rsid w:val="00CC436D"/>
    <w:rsid w:val="00CC7988"/>
    <w:rsid w:val="00CD1A0D"/>
    <w:rsid w:val="00CF24A3"/>
    <w:rsid w:val="00CF43F8"/>
    <w:rsid w:val="00D06FCE"/>
    <w:rsid w:val="00D261A7"/>
    <w:rsid w:val="00D37D3E"/>
    <w:rsid w:val="00D37E57"/>
    <w:rsid w:val="00D44AE0"/>
    <w:rsid w:val="00D454FA"/>
    <w:rsid w:val="00D465A9"/>
    <w:rsid w:val="00D575A6"/>
    <w:rsid w:val="00D6583C"/>
    <w:rsid w:val="00D66EAE"/>
    <w:rsid w:val="00D82F49"/>
    <w:rsid w:val="00D87A90"/>
    <w:rsid w:val="00D910C3"/>
    <w:rsid w:val="00DB305B"/>
    <w:rsid w:val="00DC0369"/>
    <w:rsid w:val="00DC2B92"/>
    <w:rsid w:val="00DD1246"/>
    <w:rsid w:val="00DD342B"/>
    <w:rsid w:val="00DD5C5B"/>
    <w:rsid w:val="00DE1EC3"/>
    <w:rsid w:val="00DE419F"/>
    <w:rsid w:val="00DE5FA4"/>
    <w:rsid w:val="00DE73EC"/>
    <w:rsid w:val="00DF50B2"/>
    <w:rsid w:val="00DF5AFC"/>
    <w:rsid w:val="00E03950"/>
    <w:rsid w:val="00E10837"/>
    <w:rsid w:val="00E14A8D"/>
    <w:rsid w:val="00E1780A"/>
    <w:rsid w:val="00E207E9"/>
    <w:rsid w:val="00E231B0"/>
    <w:rsid w:val="00E25A64"/>
    <w:rsid w:val="00E30439"/>
    <w:rsid w:val="00E31718"/>
    <w:rsid w:val="00E32BAD"/>
    <w:rsid w:val="00E4010C"/>
    <w:rsid w:val="00E45DB5"/>
    <w:rsid w:val="00E467C0"/>
    <w:rsid w:val="00E47131"/>
    <w:rsid w:val="00E5243E"/>
    <w:rsid w:val="00E55A1E"/>
    <w:rsid w:val="00E6451E"/>
    <w:rsid w:val="00E66A63"/>
    <w:rsid w:val="00E66B00"/>
    <w:rsid w:val="00E6747C"/>
    <w:rsid w:val="00E6787F"/>
    <w:rsid w:val="00E80DBC"/>
    <w:rsid w:val="00E90AE9"/>
    <w:rsid w:val="00E92282"/>
    <w:rsid w:val="00E940BC"/>
    <w:rsid w:val="00E96799"/>
    <w:rsid w:val="00EA123A"/>
    <w:rsid w:val="00EB3C14"/>
    <w:rsid w:val="00EB3DC3"/>
    <w:rsid w:val="00ED2EDE"/>
    <w:rsid w:val="00ED532D"/>
    <w:rsid w:val="00EE0369"/>
    <w:rsid w:val="00EE177E"/>
    <w:rsid w:val="00EF5039"/>
    <w:rsid w:val="00F01FE0"/>
    <w:rsid w:val="00F10FA7"/>
    <w:rsid w:val="00F1153B"/>
    <w:rsid w:val="00F14553"/>
    <w:rsid w:val="00F2259A"/>
    <w:rsid w:val="00F42CA5"/>
    <w:rsid w:val="00F43AC7"/>
    <w:rsid w:val="00F4710F"/>
    <w:rsid w:val="00F50C77"/>
    <w:rsid w:val="00F52406"/>
    <w:rsid w:val="00F608DE"/>
    <w:rsid w:val="00F60A2A"/>
    <w:rsid w:val="00F76E32"/>
    <w:rsid w:val="00F82679"/>
    <w:rsid w:val="00F83F2D"/>
    <w:rsid w:val="00F92EE4"/>
    <w:rsid w:val="00FA2C79"/>
    <w:rsid w:val="00FA4993"/>
    <w:rsid w:val="00FE00A8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FA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F10FA7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10FA7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F10FA7"/>
    <w:pPr>
      <w:keepNext/>
      <w:jc w:val="center"/>
      <w:outlineLvl w:val="2"/>
    </w:pPr>
    <w:rPr>
      <w:b/>
      <w:caps/>
      <w:sz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8C027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F10F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10FA7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F10FA7"/>
    <w:pPr>
      <w:spacing w:before="120" w:after="120"/>
    </w:pPr>
    <w:rPr>
      <w:b/>
    </w:rPr>
  </w:style>
  <w:style w:type="character" w:styleId="slostrnky">
    <w:name w:val="page number"/>
    <w:basedOn w:val="Standardnpsmoodstavce"/>
    <w:semiHidden/>
    <w:rsid w:val="00F10FA7"/>
  </w:style>
  <w:style w:type="paragraph" w:customStyle="1" w:styleId="Rmeek">
    <w:name w:val="Rámeček"/>
    <w:basedOn w:val="Normln"/>
    <w:rsid w:val="00F10FA7"/>
    <w:rPr>
      <w:sz w:val="20"/>
    </w:rPr>
  </w:style>
  <w:style w:type="character" w:customStyle="1" w:styleId="Hypertextovodkaz1">
    <w:name w:val="Hypertextový odkaz1"/>
    <w:rsid w:val="00F10FA7"/>
    <w:rPr>
      <w:color w:val="auto"/>
      <w:u w:val="none"/>
    </w:rPr>
  </w:style>
  <w:style w:type="character" w:customStyle="1" w:styleId="Sledovanodkaz1">
    <w:name w:val="Sledovaný odkaz1"/>
    <w:rsid w:val="00F10FA7"/>
    <w:rPr>
      <w:color w:val="800080"/>
      <w:u w:val="single"/>
    </w:rPr>
  </w:style>
  <w:style w:type="paragraph" w:customStyle="1" w:styleId="vc">
    <w:name w:val="věc"/>
    <w:basedOn w:val="Normln"/>
    <w:next w:val="Normln"/>
    <w:rsid w:val="00F10FA7"/>
    <w:rPr>
      <w:b/>
      <w:sz w:val="20"/>
    </w:rPr>
  </w:style>
  <w:style w:type="paragraph" w:customStyle="1" w:styleId="pevnedaje">
    <w:name w:val="pevne údaje"/>
    <w:basedOn w:val="Normln"/>
    <w:rsid w:val="00F10FA7"/>
    <w:rPr>
      <w:noProof/>
      <w:sz w:val="18"/>
    </w:rPr>
  </w:style>
  <w:style w:type="paragraph" w:styleId="Rozloendokumentu">
    <w:name w:val="Document Map"/>
    <w:basedOn w:val="Normln"/>
    <w:semiHidden/>
    <w:rsid w:val="00F10FA7"/>
    <w:pPr>
      <w:shd w:val="clear" w:color="auto" w:fill="000080"/>
    </w:pPr>
    <w:rPr>
      <w:rFonts w:ascii="Tahoma" w:hAnsi="Tahoma"/>
    </w:rPr>
  </w:style>
  <w:style w:type="character" w:customStyle="1" w:styleId="Nadpis6Char">
    <w:name w:val="Nadpis 6 Char"/>
    <w:link w:val="Nadpis6"/>
    <w:uiPriority w:val="9"/>
    <w:semiHidden/>
    <w:rsid w:val="008C027B"/>
    <w:rPr>
      <w:rFonts w:ascii="Calibri" w:eastAsia="Times New Roman" w:hAnsi="Calibri" w:cs="Times New Roman"/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8C027B"/>
    <w:pPr>
      <w:overflowPunct/>
      <w:autoSpaceDE/>
      <w:autoSpaceDN/>
      <w:adjustRightInd/>
      <w:spacing w:line="360" w:lineRule="auto"/>
      <w:jc w:val="center"/>
      <w:textAlignment w:val="auto"/>
    </w:pPr>
    <w:rPr>
      <w:b/>
      <w:sz w:val="32"/>
    </w:rPr>
  </w:style>
  <w:style w:type="character" w:customStyle="1" w:styleId="NzevChar">
    <w:name w:val="Název Char"/>
    <w:link w:val="Nzev"/>
    <w:rsid w:val="008C027B"/>
    <w:rPr>
      <w:rFonts w:ascii="Arial" w:hAnsi="Arial"/>
      <w:b/>
      <w:sz w:val="32"/>
    </w:rPr>
  </w:style>
  <w:style w:type="paragraph" w:styleId="Zkladntext">
    <w:name w:val="Body Text"/>
    <w:basedOn w:val="Normln"/>
    <w:link w:val="ZkladntextChar"/>
    <w:rsid w:val="008C027B"/>
    <w:pPr>
      <w:overflowPunct/>
      <w:autoSpaceDE/>
      <w:autoSpaceDN/>
      <w:adjustRightInd/>
      <w:spacing w:line="360" w:lineRule="auto"/>
      <w:jc w:val="left"/>
      <w:textAlignment w:val="auto"/>
    </w:pPr>
    <w:rPr>
      <w:sz w:val="24"/>
    </w:rPr>
  </w:style>
  <w:style w:type="character" w:customStyle="1" w:styleId="ZkladntextChar">
    <w:name w:val="Základní text Char"/>
    <w:link w:val="Zkladntext"/>
    <w:rsid w:val="008C027B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8C027B"/>
    <w:pPr>
      <w:overflowPunct/>
      <w:autoSpaceDE/>
      <w:autoSpaceDN/>
      <w:adjustRightInd/>
      <w:spacing w:line="360" w:lineRule="auto"/>
      <w:textAlignment w:val="auto"/>
    </w:pPr>
    <w:rPr>
      <w:sz w:val="24"/>
    </w:rPr>
  </w:style>
  <w:style w:type="character" w:customStyle="1" w:styleId="Zkladntext2Char">
    <w:name w:val="Základní text 2 Char"/>
    <w:link w:val="Zkladntext2"/>
    <w:rsid w:val="008C027B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8C027B"/>
    <w:pPr>
      <w:overflowPunct/>
      <w:autoSpaceDE/>
      <w:autoSpaceDN/>
      <w:adjustRightInd/>
      <w:spacing w:line="360" w:lineRule="auto"/>
      <w:ind w:left="567" w:hanging="283"/>
      <w:textAlignment w:val="auto"/>
    </w:pPr>
    <w:rPr>
      <w:sz w:val="24"/>
    </w:rPr>
  </w:style>
  <w:style w:type="character" w:customStyle="1" w:styleId="ZkladntextodsazenChar">
    <w:name w:val="Základní text odsazený Char"/>
    <w:link w:val="Zkladntextodsazen"/>
    <w:rsid w:val="008C027B"/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rsid w:val="008C027B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imes New Roman" w:hAnsi="Times New Roman"/>
      <w:b/>
      <w:sz w:val="28"/>
    </w:rPr>
  </w:style>
  <w:style w:type="character" w:customStyle="1" w:styleId="Zkladntext3Char">
    <w:name w:val="Základní text 3 Char"/>
    <w:link w:val="Zkladntext3"/>
    <w:rsid w:val="008C027B"/>
    <w:rPr>
      <w:b/>
      <w:sz w:val="28"/>
    </w:rPr>
  </w:style>
  <w:style w:type="paragraph" w:styleId="Zkladntextodsazen3">
    <w:name w:val="Body Text Indent 3"/>
    <w:basedOn w:val="Normln"/>
    <w:link w:val="Zkladntextodsazen3Char"/>
    <w:rsid w:val="008C027B"/>
    <w:pPr>
      <w:overflowPunct/>
      <w:autoSpaceDE/>
      <w:autoSpaceDN/>
      <w:adjustRightInd/>
      <w:spacing w:line="360" w:lineRule="auto"/>
      <w:ind w:left="284" w:firstLine="1134"/>
      <w:textAlignment w:val="auto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8C027B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E940BC"/>
    <w:pPr>
      <w:ind w:left="708"/>
    </w:pPr>
  </w:style>
  <w:style w:type="character" w:customStyle="1" w:styleId="ZhlavChar">
    <w:name w:val="Záhlaví Char"/>
    <w:link w:val="Zhlav"/>
    <w:semiHidden/>
    <w:rsid w:val="002F49C3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E92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subjname">
    <w:name w:val="tsubjname"/>
    <w:basedOn w:val="Standardnpsmoodstavce"/>
    <w:rsid w:val="00966C02"/>
  </w:style>
  <w:style w:type="paragraph" w:styleId="Textbubliny">
    <w:name w:val="Balloon Text"/>
    <w:basedOn w:val="Normln"/>
    <w:link w:val="TextbublinyChar"/>
    <w:uiPriority w:val="99"/>
    <w:semiHidden/>
    <w:unhideWhenUsed/>
    <w:rsid w:val="00583D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3D5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83D53"/>
    <w:rPr>
      <w:rFonts w:ascii="Arial" w:hAnsi="Arial"/>
      <w:sz w:val="22"/>
    </w:rPr>
  </w:style>
  <w:style w:type="paragraph" w:styleId="Prosttext">
    <w:name w:val="Plain Text"/>
    <w:basedOn w:val="Normln"/>
    <w:link w:val="ProsttextChar"/>
    <w:uiPriority w:val="99"/>
    <w:unhideWhenUsed/>
    <w:rsid w:val="000D19B0"/>
    <w:pPr>
      <w:overflowPunct/>
      <w:autoSpaceDE/>
      <w:autoSpaceDN/>
      <w:adjustRightInd/>
      <w:jc w:val="left"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D19B0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D19B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439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55CF-D828-4408-BBA4-4E624056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1539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ZVVZ a.s.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Petra</dc:creator>
  <cp:keywords/>
  <cp:lastModifiedBy>Michal Kolář</cp:lastModifiedBy>
  <cp:revision>8</cp:revision>
  <cp:lastPrinted>2015-11-09T10:53:00Z</cp:lastPrinted>
  <dcterms:created xsi:type="dcterms:W3CDTF">2015-10-15T11:44:00Z</dcterms:created>
  <dcterms:modified xsi:type="dcterms:W3CDTF">2016-06-09T08:58:00Z</dcterms:modified>
</cp:coreProperties>
</file>