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9" w:rsidRPr="002E5F8A" w:rsidRDefault="006162E9" w:rsidP="006162E9">
      <w:pPr>
        <w:framePr w:w="9043" w:wrap="auto" w:vAnchor="page" w:hAnchor="page" w:x="1126" w:y="14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</w:rPr>
      </w:pPr>
      <w:r w:rsidRPr="002E5F8A">
        <w:rPr>
          <w:rFonts w:ascii="Arial BoldMT" w:hAnsi="Arial BoldMT" w:cs="Arial BoldMT"/>
          <w:b/>
          <w:color w:val="000000"/>
        </w:rPr>
        <w:t>Příloha č. 1 - Zajištění odpovídajících opatření k zabezpečení ochrany osobních</w:t>
      </w:r>
    </w:p>
    <w:p w:rsidR="006162E9" w:rsidRPr="002E5F8A" w:rsidRDefault="006162E9" w:rsidP="006162E9">
      <w:pPr>
        <w:framePr w:w="9043" w:wrap="auto" w:vAnchor="page" w:hAnchor="page" w:x="1126" w:y="14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</w:rPr>
      </w:pPr>
      <w:r w:rsidRPr="002E5F8A">
        <w:rPr>
          <w:rFonts w:ascii="Arial BoldMT" w:hAnsi="Arial BoldMT" w:cs="Arial BoldMT"/>
          <w:b/>
          <w:color w:val="000000"/>
        </w:rPr>
        <w:t>údajů a základních práv a svobod subjektů údajů při zpracování osobních údajů</w:t>
      </w:r>
    </w:p>
    <w:p w:rsidR="006162E9" w:rsidRDefault="006162E9" w:rsidP="006162E9">
      <w:pPr>
        <w:framePr w:w="9047" w:wrap="auto" w:vAnchor="page" w:hAnchor="page" w:x="1426" w:y="2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1.1.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Poskytovatel zpracovává identifikační a kontaktní údaje statutárních zástupců Objednatele a</w:t>
      </w:r>
    </w:p>
    <w:p w:rsidR="006162E9" w:rsidRDefault="006162E9" w:rsidP="006162E9">
      <w:pPr>
        <w:framePr w:w="9047" w:wrap="auto" w:vAnchor="page" w:hAnchor="page" w:x="1426" w:y="2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rovněž identifikační údaje, údaje o ekonomických transakcích a další údaje nezbytné pro vedení</w:t>
      </w:r>
    </w:p>
    <w:p w:rsidR="006162E9" w:rsidRDefault="006162E9" w:rsidP="006162E9">
      <w:pPr>
        <w:framePr w:w="9047" w:wrap="auto" w:vAnchor="page" w:hAnchor="page" w:x="1426" w:y="2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účetnictví, jež se vztahují k třetím osobám, jejichž údaje jsou obsaženy v podkladech pro</w:t>
      </w:r>
    </w:p>
    <w:p w:rsidR="006162E9" w:rsidRDefault="006162E9" w:rsidP="006162E9">
      <w:pPr>
        <w:framePr w:w="9047" w:wrap="auto" w:vAnchor="page" w:hAnchor="page" w:x="1426" w:y="2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zpracování účetnictví poskytnutých Objednatelem (např. žáků, jejich zákonných zástupců či</w:t>
      </w:r>
    </w:p>
    <w:p w:rsidR="006162E9" w:rsidRDefault="006162E9" w:rsidP="006162E9">
      <w:pPr>
        <w:framePr w:w="9047" w:wrap="auto" w:vAnchor="page" w:hAnchor="page" w:x="1426" w:y="2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zaměstnanců Objednatele),</w:t>
      </w:r>
    </w:p>
    <w:p w:rsidR="00C37D4E" w:rsidRDefault="00C37D4E"/>
    <w:p w:rsidR="006162E9" w:rsidRDefault="006162E9" w:rsidP="006162E9">
      <w:pPr>
        <w:framePr w:w="9045" w:wrap="auto" w:vAnchor="page" w:hAnchor="page" w:x="1351" w:y="3691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pro účely zpracování účetnictví a poskytnutí navazujícího poradenství v oblasti účetnictví,</w:t>
      </w:r>
    </w:p>
    <w:p w:rsidR="006162E9" w:rsidRDefault="006162E9" w:rsidP="006162E9">
      <w:pPr>
        <w:framePr w:w="9045" w:wrap="auto" w:vAnchor="page" w:hAnchor="page" w:x="1351" w:y="3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 to po dobu trvání smluvního vztahu,</w:t>
      </w:r>
    </w:p>
    <w:p w:rsidR="006162E9" w:rsidRDefault="006162E9" w:rsidP="006162E9">
      <w:pPr>
        <w:framePr w:w="9048" w:wrap="auto" w:vAnchor="page" w:hAnchor="page" w:x="1336" w:y="4456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ve spisové evidenci pro účel ochrany právních nároků Poskytovatele na základě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oprávněného zájmu Poskytovatele, který spočívá v obraně vlastních práv, a to po dobu poskytování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účetních služeb a poradenství v oblasti účetnictví Objednateli a následně nejdéle po dobu 20 let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od jeho ukončení s ohledem na trestně právní promlčecí lhůty, prekluzivní lhůty v daňovém řízení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 možné opožděné uplatnění škody Objednatelem; běh této doby se staví, pokud Objednatel u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Poskytovatele či u jiného orgánu či subjektu uplatní nárok na náhradu škody způsobené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Poskytovatelem při poskytování účetních služeb a poradenství v oblasti účetnictví, nebo má</w:t>
      </w:r>
    </w:p>
    <w:p w:rsidR="006162E9" w:rsidRDefault="006162E9" w:rsidP="006162E9">
      <w:pPr>
        <w:framePr w:w="9048" w:wrap="auto" w:vAnchor="page" w:hAnchor="page" w:x="1336" w:y="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Poskytovatel důvodné podezření, že by Objednatel takový nárok mohl uplatnit,</w:t>
      </w:r>
    </w:p>
    <w:p w:rsidR="006162E9" w:rsidRDefault="006162E9">
      <w:bookmarkStart w:id="0" w:name="_GoBack"/>
      <w:bookmarkEnd w:id="0"/>
    </w:p>
    <w:p w:rsidR="006162E9" w:rsidRDefault="006162E9" w:rsidP="006162E9">
      <w:pPr>
        <w:framePr w:w="9044" w:wrap="auto" w:vAnchor="page" w:hAnchor="page" w:x="1351" w:y="6421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pro účely plnění právních povinností Poskytovatele, na to na základě povinností zejména</w:t>
      </w:r>
    </w:p>
    <w:p w:rsidR="006162E9" w:rsidRDefault="006162E9" w:rsidP="006162E9">
      <w:pPr>
        <w:framePr w:w="9044" w:wrap="auto" w:vAnchor="page" w:hAnchor="page" w:x="1351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dle AML zákona, zákona č. 563/1991 Sb., o účetnictví, ve znění pozdějších předpisů, zákona č.</w:t>
      </w:r>
    </w:p>
    <w:p w:rsidR="006162E9" w:rsidRDefault="006162E9" w:rsidP="006162E9">
      <w:pPr>
        <w:framePr w:w="9044" w:wrap="auto" w:vAnchor="page" w:hAnchor="page" w:x="1351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235/2004 Sb., o dani z přidané hodnoty, ve znění pozdějších předpisů, po dobu stanovenou těmito</w:t>
      </w:r>
    </w:p>
    <w:p w:rsidR="006162E9" w:rsidRDefault="006162E9" w:rsidP="006162E9">
      <w:pPr>
        <w:framePr w:w="9044" w:wrap="auto" w:vAnchor="page" w:hAnchor="page" w:x="1351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předpisy, nejvýše po dobu 10 let od ukončení smlouvy o vedení účetnictví nebo poskytování</w:t>
      </w:r>
    </w:p>
    <w:p w:rsidR="006162E9" w:rsidRDefault="006162E9" w:rsidP="006162E9">
      <w:pPr>
        <w:framePr w:w="9044" w:wrap="auto" w:vAnchor="page" w:hAnchor="page" w:x="1351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poradenství v oblasti účetnictví,</w:t>
      </w:r>
    </w:p>
    <w:p w:rsidR="006162E9" w:rsidRDefault="006162E9"/>
    <w:p w:rsidR="006162E9" w:rsidRDefault="006162E9" w:rsidP="006162E9">
      <w:pPr>
        <w:framePr w:w="9043" w:wrap="auto" w:vAnchor="page" w:hAnchor="page" w:x="1321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1.2.</w:t>
      </w:r>
      <w:r>
        <w:rPr>
          <w:rFonts w:ascii="Arial" w:hAnsi="Arial" w:cs="Arial"/>
          <w:color w:val="000000"/>
          <w:sz w:val="18"/>
          <w:szCs w:val="18"/>
        </w:rPr>
        <w:t xml:space="preserve"> Osobní údaje zpracovávané Poskytovatelem dle čl.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1.1. mohou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být podle pokynů</w:t>
      </w:r>
    </w:p>
    <w:p w:rsidR="006162E9" w:rsidRDefault="006162E9" w:rsidP="006162E9">
      <w:pPr>
        <w:framePr w:w="9043" w:wrap="auto" w:vAnchor="page" w:hAnchor="page" w:x="1321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Objednatele předány zřizovateli, poskytovateli dotací, orgánům finanční a celní správy, České</w:t>
      </w:r>
    </w:p>
    <w:p w:rsidR="006162E9" w:rsidRDefault="006162E9" w:rsidP="006162E9">
      <w:pPr>
        <w:framePr w:w="9043" w:wrap="auto" w:vAnchor="page" w:hAnchor="page" w:x="1321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správě sociálního zabezpečení, zdravotním pojišťovnám, Českému statistickému úřadu a dalším</w:t>
      </w:r>
    </w:p>
    <w:p w:rsidR="006162E9" w:rsidRDefault="006162E9" w:rsidP="006162E9">
      <w:pPr>
        <w:framePr w:w="9043" w:wrap="auto" w:vAnchor="page" w:hAnchor="page" w:x="1321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subjektům určeným pokyny Objednatele.</w:t>
      </w:r>
    </w:p>
    <w:p w:rsidR="006162E9" w:rsidRDefault="006162E9" w:rsidP="006162E9">
      <w:pPr>
        <w:framePr w:w="9045" w:wrap="auto" w:vAnchor="page" w:hAnchor="page" w:x="1261" w:y="8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2.1.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 souladu s uzavřenou smlouvou o vedení účetnictví a poskytování poradenských služeb</w:t>
      </w:r>
    </w:p>
    <w:p w:rsidR="006162E9" w:rsidRDefault="006162E9" w:rsidP="006162E9">
      <w:pPr>
        <w:framePr w:w="9045" w:wrap="auto" w:vAnchor="page" w:hAnchor="page" w:x="1261" w:y="8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 oblasti účetnictví, pověřuje Objednatel Poskytovatele v souladu s čl. 28 odst. 3 GDPR dle rozsahu</w:t>
      </w:r>
    </w:p>
    <w:p w:rsidR="006162E9" w:rsidRDefault="006162E9" w:rsidP="006162E9">
      <w:pPr>
        <w:framePr w:w="9045" w:wrap="auto" w:vAnchor="page" w:hAnchor="page" w:x="1261" w:y="8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svých instrukcí a po dobu poskytování trvání této smlouvy zpracováním,</w:t>
      </w:r>
    </w:p>
    <w:p w:rsidR="006162E9" w:rsidRDefault="006162E9" w:rsidP="006162E9">
      <w:pPr>
        <w:framePr w:w="8365" w:wrap="auto" w:vAnchor="page" w:hAnchor="page" w:x="1711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identifikačních údajů, údajů o ekonomických transakcích a dalších údajů nezbytných pro</w:t>
      </w:r>
    </w:p>
    <w:p w:rsidR="006162E9" w:rsidRDefault="006162E9" w:rsidP="006162E9">
      <w:pPr>
        <w:framePr w:w="8365" w:wrap="auto" w:vAnchor="page" w:hAnchor="page" w:x="1711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vedení účetnictví, jež se vztahují k třetím osobám, jejichž údaje jsou obsaženy v podkladech</w:t>
      </w:r>
    </w:p>
    <w:p w:rsidR="006162E9" w:rsidRDefault="006162E9" w:rsidP="006162E9">
      <w:pPr>
        <w:framePr w:w="8365" w:wrap="auto" w:vAnchor="page" w:hAnchor="page" w:x="1711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pro zpracování účetnictví poskytnutých Objednatelem (např. žáků, jejich zákonných</w:t>
      </w:r>
    </w:p>
    <w:p w:rsidR="006162E9" w:rsidRDefault="006162E9" w:rsidP="006162E9">
      <w:pPr>
        <w:framePr w:w="8365" w:wrap="auto" w:vAnchor="page" w:hAnchor="page" w:x="1711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zástupců či zaměstnanců Objednatele), a to pro účely vedení účetnictví;</w:t>
      </w:r>
    </w:p>
    <w:p w:rsidR="006162E9" w:rsidRPr="002E5F8A" w:rsidRDefault="006162E9" w:rsidP="006162E9">
      <w:pPr>
        <w:framePr w:w="451" w:wrap="auto" w:vAnchor="page" w:hAnchor="page" w:x="1351" w:y="9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F8A">
        <w:rPr>
          <w:rFonts w:ascii="SymbolMT" w:hAnsi="SymbolMT" w:cs="SymbolMT"/>
          <w:b/>
          <w:color w:val="000000"/>
          <w:sz w:val="18"/>
          <w:szCs w:val="18"/>
        </w:rPr>
        <w:t>•</w:t>
      </w:r>
    </w:p>
    <w:p w:rsidR="006162E9" w:rsidRDefault="006162E9"/>
    <w:p w:rsidR="006162E9" w:rsidRDefault="006162E9"/>
    <w:p w:rsidR="006162E9" w:rsidRDefault="006162E9"/>
    <w:p w:rsidR="006162E9" w:rsidRPr="002E5F8A" w:rsidRDefault="006162E9" w:rsidP="006162E9">
      <w:pPr>
        <w:framePr w:w="451" w:wrap="auto" w:vAnchor="page" w:hAnchor="page" w:x="1291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F8A">
        <w:rPr>
          <w:rFonts w:ascii="SymbolMT" w:hAnsi="SymbolMT" w:cs="SymbolMT"/>
          <w:b/>
          <w:color w:val="000000"/>
          <w:sz w:val="18"/>
          <w:szCs w:val="18"/>
        </w:rPr>
        <w:t>•</w:t>
      </w:r>
    </w:p>
    <w:p w:rsidR="006162E9" w:rsidRDefault="006162E9" w:rsidP="006162E9">
      <w:pPr>
        <w:framePr w:w="8363" w:wrap="auto" w:vAnchor="page" w:hAnchor="page" w:x="178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identifikačních údajů, údajů o výkonu práce a dalších údajů nezbytných pro výpočet mzdy,</w:t>
      </w:r>
    </w:p>
    <w:p w:rsidR="006162E9" w:rsidRDefault="006162E9" w:rsidP="006162E9">
      <w:pPr>
        <w:framePr w:w="8363" w:wrap="auto" w:vAnchor="page" w:hAnchor="page" w:x="178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stanovení výše daňové povinnosti a výše povinných odvodů, jež se vztahují</w:t>
      </w:r>
    </w:p>
    <w:p w:rsidR="006162E9" w:rsidRDefault="006162E9" w:rsidP="006162E9">
      <w:pPr>
        <w:framePr w:w="8363" w:wrap="auto" w:vAnchor="page" w:hAnchor="page" w:x="178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k zaměstnancům Objednatele a jejich rodinným příslušníkům, a to pro účely zaúčtování</w:t>
      </w:r>
    </w:p>
    <w:p w:rsidR="006162E9" w:rsidRDefault="006162E9" w:rsidP="006162E9">
      <w:pPr>
        <w:framePr w:w="8363" w:wrap="auto" w:vAnchor="page" w:hAnchor="page" w:x="178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mezd a vedení závazků a pohledávek Objednatele vůči jeho zaměstnancům;</w:t>
      </w:r>
    </w:p>
    <w:p w:rsidR="006162E9" w:rsidRDefault="006162E9"/>
    <w:p w:rsidR="006162E9" w:rsidRDefault="006162E9"/>
    <w:p w:rsidR="006162E9" w:rsidRPr="002E5F8A" w:rsidRDefault="006162E9" w:rsidP="006162E9">
      <w:pPr>
        <w:framePr w:w="451" w:wrap="auto" w:vAnchor="page" w:hAnchor="page" w:x="1291" w:y="1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F8A">
        <w:rPr>
          <w:rFonts w:ascii="SymbolMT" w:hAnsi="SymbolMT" w:cs="SymbolMT"/>
          <w:b/>
          <w:color w:val="000000"/>
          <w:sz w:val="18"/>
          <w:szCs w:val="18"/>
        </w:rPr>
        <w:t>•</w:t>
      </w:r>
    </w:p>
    <w:p w:rsidR="006162E9" w:rsidRDefault="006162E9" w:rsidP="006162E9">
      <w:pPr>
        <w:framePr w:w="8369" w:wrap="auto" w:vAnchor="page" w:hAnchor="page" w:x="1771" w:y="12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identifikačních údajů a údajů o ekonomických transakcích ve vztahu, k zaměstnancům a</w:t>
      </w:r>
    </w:p>
    <w:p w:rsidR="006162E9" w:rsidRDefault="006162E9" w:rsidP="006162E9">
      <w:pPr>
        <w:framePr w:w="8369" w:wrap="auto" w:vAnchor="page" w:hAnchor="page" w:x="1771" w:y="12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obchodním partnerům Objednatele, a to pro účely vedení účetnictví Objednatele.</w:t>
      </w:r>
    </w:p>
    <w:p w:rsidR="006162E9" w:rsidRDefault="006162E9" w:rsidP="006162E9">
      <w:pPr>
        <w:framePr w:w="6551" w:wrap="auto" w:vAnchor="page" w:hAnchor="page" w:x="1231" w:y="12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Zpracování bude probíhat po dobu trvání smlouvy o vedení účetnictví.</w:t>
      </w:r>
    </w:p>
    <w:p w:rsidR="006162E9" w:rsidRDefault="006162E9"/>
    <w:p w:rsidR="006162E9" w:rsidRDefault="006162E9" w:rsidP="006162E9">
      <w:pPr>
        <w:framePr w:w="2904" w:wrap="auto" w:vAnchor="page" w:hAnchor="page" w:x="1201" w:y="1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2.2.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Poskytovatel je povinen</w:t>
      </w:r>
    </w:p>
    <w:p w:rsidR="006162E9" w:rsidRDefault="006162E9"/>
    <w:p w:rsidR="006162E9" w:rsidRDefault="006162E9" w:rsidP="006162E9">
      <w:pPr>
        <w:framePr w:w="8890" w:wrap="auto" w:vAnchor="page" w:hAnchor="page" w:x="1726" w:y="13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a) zpracovávat osobní údaje výlučně na základě doložených pokynů Objednatele. Za doložené</w:t>
      </w:r>
    </w:p>
    <w:p w:rsidR="006162E9" w:rsidRDefault="006162E9" w:rsidP="006162E9">
      <w:pPr>
        <w:framePr w:w="8890" w:wrap="auto" w:vAnchor="page" w:hAnchor="page" w:x="1726" w:y="13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pokyny se považuje i elektronická komunikace včetně e-mailu. Poskytovatel je povinen</w:t>
      </w:r>
    </w:p>
    <w:p w:rsidR="006162E9" w:rsidRDefault="006162E9" w:rsidP="006162E9">
      <w:pPr>
        <w:framePr w:w="8890" w:wrap="auto" w:vAnchor="page" w:hAnchor="page" w:x="1726" w:y="13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neprodleně Objednatele informovat, pokud dle jeho názoru udělený pokyn Objednatele</w:t>
      </w:r>
    </w:p>
    <w:p w:rsidR="006162E9" w:rsidRDefault="006162E9" w:rsidP="006162E9">
      <w:pPr>
        <w:framePr w:w="8890" w:wrap="auto" w:vAnchor="page" w:hAnchor="page" w:x="1726" w:y="13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162E9" w:rsidRPr="006162E9" w:rsidRDefault="006162E9" w:rsidP="006162E9">
      <w:pPr>
        <w:framePr w:w="8890" w:wrap="auto" w:vAnchor="page" w:hAnchor="page" w:x="1726" w:y="13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162E9" w:rsidRDefault="006162E9"/>
    <w:p w:rsidR="006162E9" w:rsidRDefault="006162E9"/>
    <w:p w:rsidR="006162E9" w:rsidRDefault="006162E9" w:rsidP="006B0FF7">
      <w:pPr>
        <w:framePr w:w="8882" w:wrap="auto" w:vAnchor="page" w:hAnchor="page" w:x="1651" w:y="1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b) zajišťovat, aby se osoby oprávněné zpracovávat osobní údaje při plnění Smlouvy zavázaly</w:t>
      </w:r>
    </w:p>
    <w:p w:rsidR="006162E9" w:rsidRDefault="006162E9" w:rsidP="006B0FF7">
      <w:pPr>
        <w:framePr w:w="8882" w:wrap="auto" w:vAnchor="page" w:hAnchor="page" w:x="1651" w:y="1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k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mlčenlivosti nebo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aby se na ně vztahovala zákonná povinnost mlčenlivosti, zejména pak</w:t>
      </w:r>
    </w:p>
    <w:p w:rsidR="006162E9" w:rsidRDefault="006162E9" w:rsidP="006B0FF7">
      <w:pPr>
        <w:framePr w:w="8882" w:wrap="auto" w:vAnchor="page" w:hAnchor="page" w:x="1651" w:y="1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k mlčenlivosti ve vztahu ke všem osobním údajům, ke kterým budou mít přístup nebo se</w:t>
      </w:r>
    </w:p>
    <w:p w:rsidR="006162E9" w:rsidRDefault="006162E9" w:rsidP="006B0FF7">
      <w:pPr>
        <w:framePr w:w="8882" w:wrap="auto" w:vAnchor="page" w:hAnchor="page" w:x="1651" w:y="1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kterými přijdou do kontaktu;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přijmout ve smyslu čl. 32 GDPR, s ohledem na stav techniky, náklady na provedení, povahu,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rozsah, kontext a účely zpracování i k různě pravděpodobným a různě závažným rizikům pro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práva a svobody fyzických osob, vhodná technická a organizační opatření, aby zajistil úroveň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zabezpečení odpovídající danému riziku, zejm. pak osobní údaje zabezpečit vůči náhodnému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či nezákonnému zničení, ztrátě, změně, zpřístupnění neoprávněným stranám, zneužití či</w:t>
      </w:r>
    </w:p>
    <w:p w:rsidR="006162E9" w:rsidRDefault="006162E9" w:rsidP="006B0FF7">
      <w:pPr>
        <w:framePr w:w="8525" w:wrap="auto" w:vAnchor="page" w:hAnchor="page" w:x="1831" w:y="3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jinému způsobu zpracování v rozporu s GDPR;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porušuje GDPR nebo jiné předpisy týkající se ochrany osobních údajů; Bez pokynů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Objednatele není Poskytovatel zvláště oprávněn k předání osobních údajů mimo Evropský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hospodářský prostor nebo mezinárodní organizaci, pokud mu takové zpracování neukládají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právní předpisy, které se na Poskytovatele vztahují; v takovém případě Poskytovatel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Objednatele informuje o takovém právním požadavku před zpracováním, ledaže by právní</w:t>
      </w:r>
    </w:p>
    <w:p w:rsidR="006162E9" w:rsidRDefault="006162E9" w:rsidP="006162E9">
      <w:pPr>
        <w:framePr w:w="8524" w:wrap="auto" w:vAnchor="page" w:hAnchor="page" w:x="1816" w:y="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předpisy toto informování zakazovaly z důležitých důvodů veřejného zájmu.</w:t>
      </w:r>
    </w:p>
    <w:p w:rsidR="006162E9" w:rsidRDefault="006162E9"/>
    <w:p w:rsidR="006B0FF7" w:rsidRDefault="006B0FF7" w:rsidP="006B0FF7">
      <w:pPr>
        <w:framePr w:w="527" w:wrap="auto" w:vAnchor="page" w:hAnchor="page" w:x="1546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c)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d) poskytovat Objednateli veškerou součinnost, o kterou bude požádán v souvislosti se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zpracováním osobních údajů nebo která mu přímo vyplývá z GDPR, Poskytovatel je povinen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na vyžádání zpřístupnit Objednateli svá písemná technická a organizační bezpečnostní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opatření a umožnit mu případnou kontrolu, audit či inspekci dodržování předložených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technických a organizačních bezpečnostních opatření po oznámení zaslaném s předstihem</w:t>
      </w:r>
    </w:p>
    <w:p w:rsidR="006B0FF7" w:rsidRDefault="006B0FF7" w:rsidP="006B0FF7">
      <w:pPr>
        <w:framePr w:w="8888" w:wrap="auto" w:vAnchor="page" w:hAnchor="page" w:x="1636" w:y="4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nejméně deseti (10) pracovních dnů.;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2.3.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 případě, že se Poskytovatel po dobu účinnosti této smlouvy dozví o porušení zabezpečení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osobních údajů zpracovávaných Poskytovatelem na základě této smlouvy, je Poskytovatel povinen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ohlásit Objednateli, že došlo k porušení zabezpečení osobních údajů bez zbytečného odkladu poté, kdy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se o něm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dozvěděl. Ohlášení Poskytovatel provede prostřednictvím kontaktních údajů Objednatele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uvedených ve smlouvě. Následně bez zbytečného odkladu od okamžiku, kdy se Poskytovatel dozvěděl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 případu porušení zabezpečení osobních údajů, je Poskytovatel povinen Objednateli stejným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způsobem ohlásit popis povahy daného případu porušení zabezpečení osobních údajů včetně, pokud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je to možné, kategorií a přibližného počtu dotčených osob a kategorií a přibližného množství dotčených</w:t>
      </w:r>
    </w:p>
    <w:p w:rsidR="006B0FF7" w:rsidRDefault="006B0FF7" w:rsidP="006B0FF7">
      <w:pPr>
        <w:framePr w:w="9431" w:wrap="auto" w:vAnchor="page" w:hAnchor="page" w:x="1051" w:y="5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záznamů osobních údajů a popis pravděpodobných důsledků porušení zabezpečení osobních údajů.</w:t>
      </w:r>
    </w:p>
    <w:p w:rsidR="006B0FF7" w:rsidRDefault="006B0FF7" w:rsidP="006B0FF7">
      <w:pPr>
        <w:framePr w:w="9430" w:wrap="auto" w:vAnchor="page" w:hAnchor="page" w:x="1036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2.4.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Objednatel souhlasí se zapojením dalších zpracovatelů do zpracování osobních údajů dle této</w:t>
      </w:r>
    </w:p>
    <w:p w:rsidR="006B0FF7" w:rsidRDefault="006B0FF7" w:rsidP="006B0FF7">
      <w:pPr>
        <w:framePr w:w="9430" w:wrap="auto" w:vAnchor="page" w:hAnchor="page" w:x="1036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přílohy č. 1. Poskytovatel má povinnost informovat Objednatele v přiměřeném předstihu o záměru</w:t>
      </w:r>
    </w:p>
    <w:p w:rsidR="006B0FF7" w:rsidRDefault="006B0FF7" w:rsidP="006B0FF7">
      <w:pPr>
        <w:framePr w:w="9430" w:wrap="auto" w:vAnchor="page" w:hAnchor="page" w:x="1036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zapojit do zpracování osobních údajů dle této přílohy č. 1 dalšího zpracovatele vč. konkrétní identifikace</w:t>
      </w:r>
    </w:p>
    <w:p w:rsidR="006B0FF7" w:rsidRDefault="006B0FF7" w:rsidP="006B0FF7">
      <w:pPr>
        <w:framePr w:w="9430" w:wrap="auto" w:vAnchor="page" w:hAnchor="page" w:x="1036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tohoto dalšího zpracovatele umožnit Objednateli vnést proti dalšímu zpracovateli námitku.</w:t>
      </w:r>
    </w:p>
    <w:p w:rsidR="006B0FF7" w:rsidRDefault="006B0FF7" w:rsidP="006B0FF7">
      <w:pPr>
        <w:framePr w:w="9042" w:wrap="auto" w:vAnchor="page" w:hAnchor="page" w:x="1036" w:y="9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F8A">
        <w:rPr>
          <w:rFonts w:ascii="Arial BoldMT" w:hAnsi="Arial BoldMT" w:cs="Arial BoldMT"/>
          <w:b/>
          <w:color w:val="000000"/>
          <w:sz w:val="18"/>
          <w:szCs w:val="18"/>
        </w:rPr>
        <w:t>2.5.</w:t>
      </w:r>
      <w:r>
        <w:rPr>
          <w:rFonts w:ascii="Arial BoldMT" w:hAnsi="Arial BoldMT" w:cs="Arial BoldMT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 ukončení zpracování z pověření Objednatele uchovává Poskytovatel poskytnuté osobní</w:t>
      </w:r>
    </w:p>
    <w:p w:rsidR="006B0FF7" w:rsidRDefault="006B0FF7" w:rsidP="006B0FF7">
      <w:pPr>
        <w:framePr w:w="9042" w:wrap="auto" w:vAnchor="page" w:hAnchor="page" w:x="1036" w:y="9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údaje jako jejich správce pro účely ochrany právních nároků na základě oprávněného zájmu</w:t>
      </w:r>
    </w:p>
    <w:p w:rsidR="006B0FF7" w:rsidRDefault="006B0FF7" w:rsidP="006B0FF7">
      <w:pPr>
        <w:framePr w:w="9042" w:wrap="auto" w:vAnchor="page" w:hAnchor="page" w:x="1036" w:y="9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 souladu s čl. 1.1.</w:t>
      </w:r>
    </w:p>
    <w:p w:rsidR="006B0FF7" w:rsidRDefault="006B0FF7" w:rsidP="006B0FF7">
      <w:pPr>
        <w:framePr w:w="2245" w:wrap="auto" w:vAnchor="page" w:hAnchor="page" w:x="1066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 Olomouci………….</w:t>
      </w:r>
    </w:p>
    <w:p w:rsidR="006B0FF7" w:rsidRDefault="006B0FF7" w:rsidP="006B0FF7">
      <w:pPr>
        <w:framePr w:w="2245" w:wrap="auto" w:vAnchor="page" w:hAnchor="page" w:x="5731" w:y="10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 Olomouci………….</w:t>
      </w:r>
    </w:p>
    <w:p w:rsidR="006B0FF7" w:rsidRDefault="006B0FF7" w:rsidP="006B0FF7">
      <w:pPr>
        <w:framePr w:w="2413" w:wrap="auto" w:vAnchor="page" w:hAnchor="page" w:x="1006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………………………….</w:t>
      </w:r>
    </w:p>
    <w:p w:rsidR="006B0FF7" w:rsidRDefault="006B0FF7" w:rsidP="006B0FF7">
      <w:pPr>
        <w:framePr w:w="2413" w:wrap="auto" w:vAnchor="page" w:hAnchor="page" w:x="1006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Poskytovatel</w:t>
      </w:r>
    </w:p>
    <w:p w:rsidR="006B0FF7" w:rsidRDefault="006B0FF7" w:rsidP="006B0FF7">
      <w:pPr>
        <w:framePr w:w="2557" w:wrap="auto" w:vAnchor="page" w:hAnchor="page" w:x="5881" w:y="11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6B0FF7" w:rsidRDefault="006B0FF7" w:rsidP="006B0FF7">
      <w:pPr>
        <w:framePr w:w="2557" w:wrap="auto" w:vAnchor="page" w:hAnchor="page" w:x="5881" w:y="11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Objednatel</w:t>
      </w:r>
    </w:p>
    <w:p w:rsidR="006162E9" w:rsidRDefault="006162E9" w:rsidP="006B0FF7"/>
    <w:sectPr w:rsidR="0061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733B"/>
    <w:multiLevelType w:val="hybridMultilevel"/>
    <w:tmpl w:val="894CB0E8"/>
    <w:lvl w:ilvl="0" w:tplc="49384828">
      <w:numFmt w:val="bullet"/>
      <w:lvlText w:val="•"/>
      <w:lvlJc w:val="left"/>
      <w:pPr>
        <w:ind w:left="675" w:hanging="360"/>
      </w:pPr>
      <w:rPr>
        <w:rFonts w:ascii="SymbolMT" w:eastAsiaTheme="minorEastAsia" w:hAnsi="SymbolMT" w:hint="default"/>
        <w:b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E9"/>
    <w:rsid w:val="006162E9"/>
    <w:rsid w:val="006B0FF7"/>
    <w:rsid w:val="00C3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27B8-D4BD-4050-AFEC-B12AED8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2E9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FF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2018-07-27T08:44:00Z</cp:lastPrinted>
  <dcterms:created xsi:type="dcterms:W3CDTF">2018-07-27T08:30:00Z</dcterms:created>
  <dcterms:modified xsi:type="dcterms:W3CDTF">2018-07-27T08:46:00Z</dcterms:modified>
</cp:coreProperties>
</file>