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FB" w:rsidRDefault="00A824FB" w:rsidP="00A824FB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Smlouva o vedení účetnictví </w:t>
      </w:r>
    </w:p>
    <w:p w:rsidR="00A824FB" w:rsidRDefault="00A824FB" w:rsidP="00A824FB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uzavřená níže uvedeného dne, měsíce a roku </w:t>
      </w:r>
    </w:p>
    <w:p w:rsidR="00A824FB" w:rsidRDefault="00A824FB" w:rsidP="00A824FB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:rsidR="00A824FB" w:rsidRDefault="00A824FB" w:rsidP="00A824FB">
      <w:pPr>
        <w:jc w:val="both"/>
        <w:rPr>
          <w:sz w:val="22"/>
          <w:szCs w:val="22"/>
        </w:rPr>
      </w:pPr>
    </w:p>
    <w:p w:rsidR="00A824FB" w:rsidRDefault="00A824FB" w:rsidP="00A824FB">
      <w:pPr>
        <w:jc w:val="both"/>
        <w:rPr>
          <w:sz w:val="22"/>
          <w:szCs w:val="22"/>
        </w:rPr>
      </w:pPr>
    </w:p>
    <w:p w:rsidR="00A824FB" w:rsidRDefault="00A824FB" w:rsidP="00A824FB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Obchodní firma/jméno: </w:t>
      </w:r>
    </w:p>
    <w:p w:rsidR="00A824FB" w:rsidRDefault="00A824FB" w:rsidP="00A824FB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Olomoucká účetní kancelář s.r.o.</w:t>
      </w:r>
    </w:p>
    <w:p w:rsidR="00A824FB" w:rsidRDefault="00A824FB" w:rsidP="00A824FB">
      <w:pPr>
        <w:jc w:val="both"/>
        <w:rPr>
          <w:sz w:val="26"/>
          <w:szCs w:val="26"/>
        </w:rPr>
      </w:pPr>
      <w:r>
        <w:rPr>
          <w:sz w:val="26"/>
          <w:szCs w:val="26"/>
        </w:rPr>
        <w:t>se sídlem  V hlinkách 3, Olomouc</w:t>
      </w:r>
    </w:p>
    <w:p w:rsidR="00A824FB" w:rsidRDefault="00A824FB" w:rsidP="00A824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IČO </w:t>
      </w:r>
      <w:r>
        <w:rPr>
          <w:iCs/>
          <w:sz w:val="26"/>
          <w:szCs w:val="26"/>
        </w:rPr>
        <w:t>28564413</w:t>
      </w:r>
    </w:p>
    <w:p w:rsidR="00A824FB" w:rsidRDefault="00A824FB" w:rsidP="00A824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Zastoupená: </w:t>
      </w:r>
      <w:r>
        <w:rPr>
          <w:rStyle w:val="platne1"/>
          <w:sz w:val="26"/>
          <w:szCs w:val="26"/>
        </w:rPr>
        <w:t>Mgr. Karlou Maderovou Voltnerovou</w:t>
      </w:r>
    </w:p>
    <w:p w:rsidR="00A824FB" w:rsidRDefault="00A824FB" w:rsidP="00A824FB">
      <w:pPr>
        <w:jc w:val="both"/>
        <w:rPr>
          <w:sz w:val="26"/>
          <w:szCs w:val="26"/>
        </w:rPr>
      </w:pPr>
    </w:p>
    <w:p w:rsidR="00A824FB" w:rsidRDefault="00A824FB" w:rsidP="00A824FB">
      <w:pPr>
        <w:jc w:val="both"/>
        <w:rPr>
          <w:sz w:val="26"/>
          <w:szCs w:val="26"/>
        </w:rPr>
      </w:pPr>
      <w:r>
        <w:rPr>
          <w:sz w:val="26"/>
          <w:szCs w:val="26"/>
        </w:rPr>
        <w:t>jako poskytovatel na straně jedné (dále jen “poskytovatel”)</w:t>
      </w:r>
    </w:p>
    <w:p w:rsidR="00A824FB" w:rsidRDefault="00A824FB" w:rsidP="00A824FB">
      <w:pPr>
        <w:jc w:val="both"/>
        <w:rPr>
          <w:sz w:val="26"/>
          <w:szCs w:val="22"/>
        </w:rPr>
      </w:pPr>
    </w:p>
    <w:p w:rsidR="00A824FB" w:rsidRDefault="00A824FB" w:rsidP="00A824FB">
      <w:pPr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>a</w:t>
      </w:r>
    </w:p>
    <w:p w:rsidR="00A824FB" w:rsidRDefault="00A824FB" w:rsidP="00A824FB">
      <w:pPr>
        <w:jc w:val="both"/>
        <w:rPr>
          <w:sz w:val="26"/>
          <w:szCs w:val="22"/>
        </w:rPr>
      </w:pPr>
    </w:p>
    <w:p w:rsidR="00A824FB" w:rsidRDefault="00A824FB" w:rsidP="00A824FB">
      <w:pPr>
        <w:pStyle w:val="Nadpis3"/>
        <w:rPr>
          <w:sz w:val="26"/>
        </w:rPr>
      </w:pPr>
      <w:r>
        <w:rPr>
          <w:sz w:val="26"/>
        </w:rPr>
        <w:t xml:space="preserve">Obchodní firma/jméno: </w:t>
      </w:r>
    </w:p>
    <w:p w:rsidR="00A824FB" w:rsidRDefault="00A824FB" w:rsidP="00A824FB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 xml:space="preserve">Základní škola a mateřská škola Olomouc, Svatoplukova 11, příspěvková organizace </w:t>
      </w:r>
    </w:p>
    <w:p w:rsidR="00A824FB" w:rsidRDefault="00A824FB" w:rsidP="00A824FB">
      <w:pPr>
        <w:jc w:val="both"/>
        <w:rPr>
          <w:sz w:val="26"/>
          <w:szCs w:val="22"/>
        </w:rPr>
      </w:pPr>
      <w:r>
        <w:rPr>
          <w:sz w:val="26"/>
          <w:szCs w:val="22"/>
        </w:rPr>
        <w:t>se sídlem: Svatoplukova 11, 779 00 Olomouc</w:t>
      </w:r>
    </w:p>
    <w:p w:rsidR="00A824FB" w:rsidRDefault="00A824FB" w:rsidP="00A824FB">
      <w:pPr>
        <w:jc w:val="both"/>
        <w:rPr>
          <w:sz w:val="26"/>
          <w:szCs w:val="22"/>
        </w:rPr>
      </w:pPr>
      <w:r>
        <w:rPr>
          <w:sz w:val="26"/>
          <w:szCs w:val="22"/>
        </w:rPr>
        <w:t>IČ : 70631034</w:t>
      </w:r>
    </w:p>
    <w:p w:rsidR="00A824FB" w:rsidRDefault="00A824FB" w:rsidP="00A824FB">
      <w:pPr>
        <w:jc w:val="both"/>
        <w:rPr>
          <w:sz w:val="26"/>
          <w:szCs w:val="22"/>
        </w:rPr>
      </w:pPr>
      <w:r>
        <w:rPr>
          <w:sz w:val="26"/>
          <w:szCs w:val="22"/>
        </w:rPr>
        <w:t>zastoupená :  Mgr. Eva  Navrátilová – pověřená vedením školy</w:t>
      </w:r>
    </w:p>
    <w:p w:rsidR="00A824FB" w:rsidRDefault="00A824FB" w:rsidP="00A824FB">
      <w:pPr>
        <w:jc w:val="both"/>
        <w:rPr>
          <w:sz w:val="26"/>
          <w:szCs w:val="22"/>
        </w:rPr>
      </w:pPr>
    </w:p>
    <w:p w:rsidR="00A824FB" w:rsidRDefault="00A824FB" w:rsidP="00A824FB">
      <w:pPr>
        <w:jc w:val="both"/>
        <w:rPr>
          <w:sz w:val="26"/>
          <w:szCs w:val="22"/>
        </w:rPr>
      </w:pPr>
      <w:r>
        <w:rPr>
          <w:sz w:val="26"/>
          <w:szCs w:val="22"/>
        </w:rPr>
        <w:t>jako objednatel na straně druhé (dále jen “objednatel”)</w:t>
      </w: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takto:</w:t>
      </w:r>
    </w:p>
    <w:p w:rsidR="00A824FB" w:rsidRDefault="00A824FB" w:rsidP="00A824FB">
      <w:pPr>
        <w:jc w:val="center"/>
        <w:rPr>
          <w:b/>
          <w:bCs/>
          <w:color w:val="000000"/>
          <w:sz w:val="22"/>
          <w:szCs w:val="22"/>
        </w:rPr>
      </w:pP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I.</w:t>
      </w: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jc w:val="both"/>
        <w:rPr>
          <w:sz w:val="26"/>
          <w:szCs w:val="22"/>
        </w:rPr>
      </w:pPr>
      <w:r>
        <w:rPr>
          <w:color w:val="000000"/>
          <w:sz w:val="26"/>
          <w:szCs w:val="22"/>
        </w:rPr>
        <w:t>Poskytovatel se zavazuje pro objednatele vést jeho účetnictví v rozsahu stanoveném zákony a dalšími aplikovatelnými právními předpisy České republiky, zejména dle zákona č. 563/1991 Sb., o účetnictví.</w:t>
      </w:r>
      <w:r>
        <w:rPr>
          <w:b/>
          <w:bCs/>
          <w:i/>
          <w:iCs/>
          <w:sz w:val="26"/>
          <w:szCs w:val="22"/>
        </w:rPr>
        <w:t xml:space="preserve"> </w:t>
      </w:r>
    </w:p>
    <w:p w:rsidR="00A824FB" w:rsidRDefault="00A824FB" w:rsidP="00A824FB">
      <w:pPr>
        <w:jc w:val="both"/>
        <w:rPr>
          <w:sz w:val="26"/>
          <w:szCs w:val="22"/>
        </w:rPr>
      </w:pPr>
      <w:r>
        <w:rPr>
          <w:sz w:val="26"/>
          <w:szCs w:val="22"/>
        </w:rPr>
        <w:t>Objednatel se zavazuje za vedení účetnictví realizované na základě této smlouvy platit poskytovateli odměnu.</w:t>
      </w: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II.</w:t>
      </w: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</w:p>
    <w:p w:rsidR="00A824FB" w:rsidRDefault="00A824FB" w:rsidP="00A824FB">
      <w:pPr>
        <w:numPr>
          <w:ilvl w:val="0"/>
          <w:numId w:val="1"/>
        </w:numPr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Činnosti spojené s vedením účetnictví budou poskytovatelem realizovány průběžně na základě operativní dohody s objednatelem. Rozsah činnosti poskytovatele je vymezen následovně:</w:t>
      </w:r>
    </w:p>
    <w:p w:rsidR="00A824FB" w:rsidRDefault="00A824FB" w:rsidP="00A824FB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2"/>
        </w:rPr>
      </w:pPr>
      <w:r>
        <w:rPr>
          <w:rFonts w:ascii="Times New Roman" w:hAnsi="Times New Roman" w:cs="Times New Roman"/>
          <w:sz w:val="26"/>
          <w:szCs w:val="28"/>
        </w:rPr>
        <w:t>převzetí a zaúčtování účetních dokladů v podvojném účetnictví</w:t>
      </w:r>
    </w:p>
    <w:p w:rsidR="00A824FB" w:rsidRDefault="00A824FB" w:rsidP="00A824FB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vypracování daňových přiznaní a hlášení příslušným úřadům v zákonných lhůtách (vyjma daňových přiznání a hlášení vztahujících se ke zpracování mezd a personální a mzdové agendy)</w:t>
      </w:r>
    </w:p>
    <w:p w:rsidR="00A824FB" w:rsidRDefault="00A824FB" w:rsidP="00A824FB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odesílání účetní závěrky a dalších výkazů do systému státní pokladny v souladu s vyhláškou 383/2009 Sb. o účetních záznamech v technické formě vybraných účetních jednotek a jejich předávání do centrálního systému státu a (technická vyhláška o účetních záznamech)</w:t>
      </w:r>
    </w:p>
    <w:p w:rsidR="00A824FB" w:rsidRDefault="00A824FB" w:rsidP="00A824FB">
      <w:pPr>
        <w:pStyle w:val="Normlnweb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Služby poskytovatele nezahrnují zpracování a výpočet mezd, vedení mzdové a personální agendy a zpracování s tím souvisejících výkazů, hlášení a daňových přiznání.</w:t>
      </w:r>
    </w:p>
    <w:p w:rsidR="00A824FB" w:rsidRDefault="00A824FB" w:rsidP="00A824FB">
      <w:pPr>
        <w:numPr>
          <w:ilvl w:val="0"/>
          <w:numId w:val="1"/>
        </w:numPr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Objednatel je povinen poskytnout poskytovateli veškeré informace a podklady potřebné k vedení účetnictví a tyto materiály na žádost poskytovatele doplnit či upřesnit, umožnit poskytovateli kontakt se svými zaměstnanci či jinými osobami a přístup k jiným podkladům a skutečnostem, to vše v rozsahu nutném či užitečném pro řádné vedení účetnictví.</w:t>
      </w:r>
    </w:p>
    <w:p w:rsidR="00A824FB" w:rsidRDefault="00A824FB" w:rsidP="00A824FB">
      <w:pPr>
        <w:numPr>
          <w:ilvl w:val="0"/>
          <w:numId w:val="1"/>
        </w:numPr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Poskytovatel je povinen účetnictví vést v zadaném rozsahu v souladu s aplikovatelnými právními předpisy, s vynaložením všech svých odborných schopností tak, aby co nejlépe vyhovovalo zákonným požadavkům a potřebám objednatele. Pokud by pokyny objednatele mohly narušit řádné vedení účetnictví, je poskytovatel povinen objednatele na tuto skutečnost upozornit; pokud objednatel na svých pokynech i nadále trvá, jsou pro poskytovatele závazné.</w:t>
      </w:r>
    </w:p>
    <w:p w:rsidR="00A824FB" w:rsidRDefault="00A824FB" w:rsidP="00A824FB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Poskytovatel provádí vedení účetnictví sám nebo prostřednictvím svých zaměstnanců, přičemž při vedení účetnictví jinou osobou má poskytovatel odpovědnost, jakoby vedení účetnictví prováděl sám.</w:t>
      </w: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III.</w:t>
      </w: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</w:p>
    <w:p w:rsidR="00A824FB" w:rsidRDefault="00A824FB" w:rsidP="00A824FB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Odměna za vedení účetnictví se sjednává na 9.200,-Kč měsíčně bez DPH. Dále poskytovateli  náleží odměna za zpracovanou  mezitímní účetní závěrku ve výši 2.000,- Kč bez DPH, roční účetní závěrku 3.000,- Kč bez DPH a pomocný analytický přehled ve výši  1.500 Kč bez DPH.  Poskytovatel vyúčtuje tuto odměnu v měsíci, kdy předá zpracovanou účetní závěrku a pomocný analytický přehled objednateli. </w:t>
      </w:r>
    </w:p>
    <w:p w:rsidR="00A824FB" w:rsidRDefault="00A824FB" w:rsidP="00A824FB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Odměna za vedení účetnictví za období 8-9/2017 se sjednává obdobně na 9.200,- Kč za 1 zpracovaný měsíc bez DPH. Dále se objednatel zavazuje zaplatit poskytovateli odměnu za zpracovanou účetní závěrku za 3. čtvrtletí roku 2016 ve výši 2.000,- Kč bez DPH. Poskytovatel vyúčtuje tuto odměnu za zpracované účetnictví za období 8-9/2017 nejpozději do 20.10.2017. </w:t>
      </w:r>
    </w:p>
    <w:p w:rsidR="00A824FB" w:rsidRDefault="00A824FB" w:rsidP="00A824FB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Poskytovatel se zavazuje převzít účetnictví i za měsíce leden až červenec 2017, a provést rekonstrukci účetnictví za období 1-7/2017, popř. opravu zjištěných chyb minulých účetních období, za což mu náleží odměna 6.000 Kč bez DPH za převzetí a rekonstrukci každého jednotlivého zpracovaného měsíce. </w:t>
      </w:r>
    </w:p>
    <w:p w:rsidR="00A824FB" w:rsidRDefault="00A824FB" w:rsidP="00A824FB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Tato smluvní odměna je splatná na základě vystavených faktur se splatností 14 dnů.</w:t>
      </w:r>
    </w:p>
    <w:p w:rsidR="00A824FB" w:rsidRDefault="00A824FB" w:rsidP="00A824FB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Poskytovatel si vyhrazuje právo změnit poměrně výši odměny, při významné změně počtu dokladů nebo složitosti účetních případů. Novou výši ceny musí poskytovatel s objednatelem projednat a písemně upravit v dodatku k této smlouvě.</w:t>
      </w:r>
    </w:p>
    <w:p w:rsidR="00A824FB" w:rsidRDefault="00A824FB" w:rsidP="00A824FB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Poskytovatel má právo upravit výši odměny dle vývoje inflace, kterou vyhlašuje Český statistický úřad indexem spotřebních cen za každý rok.</w:t>
      </w:r>
    </w:p>
    <w:p w:rsidR="00A824FB" w:rsidRDefault="00A824FB" w:rsidP="00A824FB">
      <w:pPr>
        <w:pStyle w:val="Zkladntext"/>
        <w:rPr>
          <w:b/>
          <w:bCs/>
          <w:sz w:val="26"/>
          <w:szCs w:val="28"/>
        </w:rPr>
      </w:pPr>
    </w:p>
    <w:p w:rsidR="00A824FB" w:rsidRDefault="00A824FB" w:rsidP="00A824FB">
      <w:pPr>
        <w:pStyle w:val="Zkladntext"/>
        <w:rPr>
          <w:b/>
          <w:bCs/>
          <w:sz w:val="26"/>
          <w:szCs w:val="28"/>
        </w:rPr>
      </w:pPr>
    </w:p>
    <w:p w:rsidR="00A824FB" w:rsidRDefault="00A824FB" w:rsidP="00A824FB">
      <w:pPr>
        <w:pStyle w:val="Zkladntext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IV.</w:t>
      </w:r>
    </w:p>
    <w:p w:rsidR="00A824FB" w:rsidRDefault="00A824FB" w:rsidP="00A824FB">
      <w:pPr>
        <w:pStyle w:val="Zkladntext"/>
        <w:jc w:val="center"/>
        <w:rPr>
          <w:sz w:val="26"/>
        </w:rPr>
      </w:pPr>
    </w:p>
    <w:p w:rsidR="00A824FB" w:rsidRDefault="00A824FB" w:rsidP="00A824FB">
      <w:pPr>
        <w:pStyle w:val="Zkladntext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Poskytovatel je povinen řádně, ve stanovených termínech a dle platných právních předpisů, zaúčtovat v podvojném účetnictví veškeré jemu předložené účetní doklady.</w:t>
      </w:r>
    </w:p>
    <w:p w:rsidR="00A824FB" w:rsidRDefault="00A824FB" w:rsidP="00A824FB">
      <w:pPr>
        <w:pStyle w:val="Zkladntext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Poskytovatel je oprávněn vrátit objednateli účetní doklady, které pro formální nedostatky nebo jiné závady z hlediska jejich průkaznosti a věrohodnosti nelze řádně zaúčtovat.</w:t>
      </w:r>
    </w:p>
    <w:p w:rsidR="00A824FB" w:rsidRDefault="00A824FB" w:rsidP="00A824FB">
      <w:pPr>
        <w:pStyle w:val="Zkladntext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Objednatel se zavazuje vytvořit poskytovateli podmínky pro plnění účelu smlouvy, a to buď svěřením dokladů k zaúčtování do kanceláře poskytovatele nebo umožněním přístupu k uloženým dokladů a elektronickým datům v prostorách objednatele tak, aby poskytovatel mohl nezávisle na objednateli plnit předmět této smlouvy. Objednatel se dále zavazuje zabezpečit personální, organizační a softwarové řešení tak, aby poskytovatel mohl nezávisle provádět navazující práce v souladu s touto smlouvou. V případě nezabezpečení takových podmínek je objednatel v prodlení a poskytovatel neodpovídá za škodu, která může vzniknout v důsledku nedodržení zákonem nebo zřizovatelem stanovených termínů při odevzdávání daňových přiznání, hlášení a ostatních výstupů z účetnictví</w:t>
      </w:r>
    </w:p>
    <w:p w:rsidR="00A824FB" w:rsidRDefault="00A824FB" w:rsidP="00A824FB">
      <w:pPr>
        <w:pStyle w:val="Zkladntext"/>
        <w:jc w:val="center"/>
        <w:rPr>
          <w:b/>
          <w:bCs/>
          <w:sz w:val="26"/>
          <w:szCs w:val="28"/>
        </w:rPr>
      </w:pPr>
    </w:p>
    <w:p w:rsidR="00A824FB" w:rsidRDefault="00A824FB" w:rsidP="00A824FB">
      <w:pPr>
        <w:pStyle w:val="Zkladntext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V.</w:t>
      </w:r>
    </w:p>
    <w:p w:rsidR="00A824FB" w:rsidRDefault="00A824FB" w:rsidP="00A824FB">
      <w:pPr>
        <w:pStyle w:val="Zkladntext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Veškerá odpovědnost za řádné vedení účetnictví se řídí platnými právními předpisy ve smyslu zákona 280/2009 Sb., daňového řádu a zákona č. 563/1991 Sb. o účetnictví v platném znění.</w:t>
      </w:r>
    </w:p>
    <w:p w:rsidR="00A824FB" w:rsidRDefault="00A824FB" w:rsidP="00A824FB">
      <w:pPr>
        <w:pStyle w:val="Zkladntext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Odpovědnost za náhradu škody, vzniklou objednateli pochybením poskytovatele, je subjektivní a vztahuje se toliko na příslušenství k dani, stanovené formou penále.</w:t>
      </w:r>
    </w:p>
    <w:p w:rsidR="00A824FB" w:rsidRDefault="00A824FB" w:rsidP="00A824FB">
      <w:pPr>
        <w:pStyle w:val="Zkladntext"/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Poskytovatel se zavazuje k povinnosti mlčenlivosti o skutečnostech, které získá a zjistí při vedení účetnictví pro objednatele. Tato povinnost se řídí platnou právní legislativou ČR.</w:t>
      </w:r>
    </w:p>
    <w:p w:rsidR="00A824FB" w:rsidRDefault="00A824FB" w:rsidP="00A824FB">
      <w:pPr>
        <w:pStyle w:val="Zkladntext"/>
        <w:jc w:val="both"/>
        <w:rPr>
          <w:sz w:val="26"/>
        </w:rPr>
      </w:pPr>
    </w:p>
    <w:p w:rsidR="00A824FB" w:rsidRDefault="00A824FB" w:rsidP="00A824FB">
      <w:pPr>
        <w:pStyle w:val="Zkladntext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VI.</w:t>
      </w:r>
    </w:p>
    <w:p w:rsidR="00A824FB" w:rsidRDefault="00A824FB" w:rsidP="00A824FB">
      <w:pPr>
        <w:pStyle w:val="Zkladntext"/>
        <w:jc w:val="center"/>
        <w:rPr>
          <w:sz w:val="26"/>
        </w:rPr>
      </w:pPr>
    </w:p>
    <w:p w:rsidR="00A824FB" w:rsidRDefault="00A824FB" w:rsidP="00A824FB">
      <w:pPr>
        <w:pStyle w:val="Zkladntext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Tato smlouva se uzavírá na dobu neurčitou, přičemž účinnost této smlouvy nastává dnem podpisu oběma stranami, popř. zveřejněním v registru smluv.</w:t>
      </w:r>
    </w:p>
    <w:p w:rsidR="00A824FB" w:rsidRDefault="00A824FB" w:rsidP="00A824FB">
      <w:pPr>
        <w:pStyle w:val="Zkladntext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Obě smluvní strany mají právo od smlouvy jednostranně odstoupit písemnou výpovědí, doručenou druhé smluvní straně. Výpovědní lhůta v takovém případě činí 2 měsíce a začíná běžet první kalendářní den měsíce, který následuje po měsíci, v němž byla písemná výpověď druhé smluvní straně doručena.</w:t>
      </w:r>
    </w:p>
    <w:p w:rsidR="00A824FB" w:rsidRDefault="00A824FB" w:rsidP="00A824FB">
      <w:pPr>
        <w:pStyle w:val="Zkladntext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Smluvní strany mají právo od smlouvy jednostranně odstoupit okamžitě bez výpovědní lhůty, v případě, že druhá strana smlouvu opakovaně hrubě porušila. Za hrubé porušení smlouvy se považuje prodlení objednavatele s platbou podle článku III. této smlouvy nebo porušení povinnosti mlčenlivosti podle článku V. odst.3.</w:t>
      </w:r>
    </w:p>
    <w:p w:rsidR="00A824FB" w:rsidRDefault="00A824FB" w:rsidP="00A824FB">
      <w:pPr>
        <w:pStyle w:val="Zkladntext"/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V případě ukončení smluvního vztahu dohodou nebo výpovědí, je poskytovatel povinen dokončit veškeré úkony, směřující k podání průběžných daňových přiznání, případně uzavřít řádným způsobem daňové období kalendářního roku, </w:t>
      </w:r>
      <w:r>
        <w:rPr>
          <w:sz w:val="26"/>
        </w:rPr>
        <w:lastRenderedPageBreak/>
        <w:t>který předchází kalendářnímu roku, ve kterém byla doručena písemná výpověď.</w:t>
      </w: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2"/>
        </w:rPr>
        <w:t>VII.</w:t>
      </w:r>
    </w:p>
    <w:p w:rsidR="00A824FB" w:rsidRDefault="00A824FB" w:rsidP="00A824FB">
      <w:pPr>
        <w:jc w:val="center"/>
        <w:rPr>
          <w:b/>
          <w:bCs/>
          <w:color w:val="000000"/>
          <w:sz w:val="26"/>
          <w:szCs w:val="22"/>
        </w:rPr>
      </w:pPr>
    </w:p>
    <w:p w:rsidR="00A824FB" w:rsidRDefault="00A824FB" w:rsidP="00A824FB">
      <w:pPr>
        <w:pStyle w:val="Zkladntext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Tuto smlouvu lze změnit pouze číslovanými dodatky podepsaným oprávněnými zástupci obou smluvních stran. </w:t>
      </w:r>
    </w:p>
    <w:p w:rsidR="00A824FB" w:rsidRDefault="00A824FB" w:rsidP="00A824FB">
      <w:pPr>
        <w:pStyle w:val="Zkladntext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Tato smlouva je vyhotovena ve dvou vyhotoveních, z nichž každá smluvní strana obdrží jeden exemplář. </w:t>
      </w:r>
    </w:p>
    <w:p w:rsidR="00A824FB" w:rsidRDefault="00A824FB" w:rsidP="00A824FB">
      <w:pPr>
        <w:pStyle w:val="Zkladntext"/>
        <w:numPr>
          <w:ilvl w:val="0"/>
          <w:numId w:val="7"/>
        </w:numPr>
        <w:tabs>
          <w:tab w:val="left" w:pos="540"/>
          <w:tab w:val="left" w:pos="567"/>
        </w:tabs>
        <w:jc w:val="both"/>
        <w:rPr>
          <w:sz w:val="26"/>
        </w:rPr>
      </w:pPr>
      <w:r>
        <w:rPr>
          <w:sz w:val="26"/>
        </w:rPr>
        <w:tab/>
        <w:t>Veškerá předchozí ujednání mezi stranami této smlouvy týkající se jejího předmětu pozbývají podpisem této smlouvy platnosti.</w:t>
      </w:r>
    </w:p>
    <w:p w:rsidR="00A824FB" w:rsidRDefault="00A824FB" w:rsidP="00A824FB">
      <w:pPr>
        <w:numPr>
          <w:ilvl w:val="0"/>
          <w:numId w:val="7"/>
        </w:numPr>
        <w:spacing w:line="240" w:lineRule="atLeast"/>
        <w:jc w:val="both"/>
        <w:rPr>
          <w:sz w:val="26"/>
          <w:szCs w:val="22"/>
        </w:rPr>
      </w:pPr>
      <w:r>
        <w:rPr>
          <w:sz w:val="26"/>
          <w:szCs w:val="22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 (zejména z důvodu rozporu s aplikovatelnými zákony a ostatními právními normami), provedou smluvní strany konzultace a dohodnou se na právně přijatelném způsobu provedení záměrů obsažených v takové části smlouvy jež pozbyla platnosti.</w:t>
      </w:r>
    </w:p>
    <w:p w:rsidR="00A824FB" w:rsidRDefault="00A824FB" w:rsidP="00A824FB">
      <w:pPr>
        <w:pStyle w:val="Zkladntext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V případě vyšší moci je každá strana zproštěna svých závazků z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některé z příčin uvedených níže.</w:t>
      </w:r>
    </w:p>
    <w:p w:rsidR="00A824FB" w:rsidRDefault="00A824FB" w:rsidP="00A824FB">
      <w:pPr>
        <w:pStyle w:val="Zkladntext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 (vyhlášené i nevyhlášené), změna politické situace, která  vylučuje nebo nepřiměřeně ztěžuje výkon práv a povinností  z této smlouvy nebo jakákoli jiná podobná příčina.</w:t>
      </w:r>
    </w:p>
    <w:p w:rsidR="00A824FB" w:rsidRDefault="00A824FB" w:rsidP="00A824FB">
      <w:pPr>
        <w:pStyle w:val="Zkladntext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Pokud nebylo v této smlouvě ujednáno jinak, řídí se právní vztahy z ní vyplývající a vznikající platným právním řádem ČR.</w:t>
      </w:r>
    </w:p>
    <w:p w:rsidR="00A824FB" w:rsidRDefault="00A824FB" w:rsidP="00A824FB">
      <w:pPr>
        <w:pStyle w:val="Zkladntext"/>
        <w:tabs>
          <w:tab w:val="left" w:pos="567"/>
          <w:tab w:val="left" w:pos="851"/>
        </w:tabs>
        <w:ind w:firstLine="570"/>
        <w:jc w:val="both"/>
        <w:rPr>
          <w:sz w:val="26"/>
        </w:rPr>
      </w:pPr>
    </w:p>
    <w:p w:rsidR="00A824FB" w:rsidRDefault="00A824FB" w:rsidP="00A824FB">
      <w:pPr>
        <w:pStyle w:val="Zkladntext"/>
        <w:tabs>
          <w:tab w:val="left" w:pos="567"/>
          <w:tab w:val="left" w:pos="851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VIII.</w:t>
      </w:r>
    </w:p>
    <w:p w:rsidR="00A824FB" w:rsidRDefault="00A824FB" w:rsidP="00A824FB">
      <w:pPr>
        <w:pStyle w:val="Zkladntext"/>
        <w:tabs>
          <w:tab w:val="left" w:pos="567"/>
          <w:tab w:val="left" w:pos="851"/>
        </w:tabs>
        <w:jc w:val="center"/>
        <w:rPr>
          <w:b/>
          <w:bCs/>
          <w:sz w:val="26"/>
        </w:rPr>
      </w:pPr>
    </w:p>
    <w:p w:rsidR="00A824FB" w:rsidRDefault="00A824FB" w:rsidP="00A824FB">
      <w:pPr>
        <w:pStyle w:val="Zkladntext"/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Oprávnění zástupci smluvních stran prohlašují, že si smlouvu přečetli a její text odpovídá pravé a svobodné vůli smluvních stran. Na důkaz toho připojují své podpisy.</w:t>
      </w:r>
    </w:p>
    <w:p w:rsidR="00A824FB" w:rsidRDefault="00A824FB" w:rsidP="00A824FB">
      <w:pPr>
        <w:pStyle w:val="Zkladntext"/>
        <w:tabs>
          <w:tab w:val="left" w:pos="567"/>
          <w:tab w:val="left" w:pos="851"/>
        </w:tabs>
        <w:rPr>
          <w:sz w:val="26"/>
        </w:rPr>
      </w:pPr>
    </w:p>
    <w:p w:rsidR="00A824FB" w:rsidRDefault="00A824FB" w:rsidP="00A824FB">
      <w:pPr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V Olomouci 1.10.2017</w:t>
      </w: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jc w:val="both"/>
        <w:rPr>
          <w:color w:val="000000"/>
          <w:sz w:val="26"/>
          <w:szCs w:val="22"/>
        </w:rPr>
      </w:pPr>
    </w:p>
    <w:p w:rsidR="00A824FB" w:rsidRDefault="00A824FB" w:rsidP="00A824FB">
      <w:pPr>
        <w:ind w:firstLine="708"/>
        <w:jc w:val="both"/>
        <w:rPr>
          <w:sz w:val="26"/>
        </w:rPr>
      </w:pPr>
      <w:r>
        <w:rPr>
          <w:color w:val="000000"/>
          <w:sz w:val="26"/>
          <w:szCs w:val="22"/>
        </w:rPr>
        <w:t>poskytovatel</w:t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  <w:t>objednatel</w:t>
      </w:r>
    </w:p>
    <w:p w:rsidR="007C2AB0" w:rsidRDefault="007C2AB0">
      <w:bookmarkStart w:id="0" w:name="_GoBack"/>
      <w:bookmarkEnd w:id="0"/>
    </w:p>
    <w:sectPr w:rsidR="007C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9E2"/>
    <w:multiLevelType w:val="hybridMultilevel"/>
    <w:tmpl w:val="B3100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B4D06"/>
    <w:multiLevelType w:val="hybridMultilevel"/>
    <w:tmpl w:val="2B663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510A3"/>
    <w:multiLevelType w:val="hybridMultilevel"/>
    <w:tmpl w:val="E39A1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500CD"/>
    <w:multiLevelType w:val="hybridMultilevel"/>
    <w:tmpl w:val="DCB82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116CA"/>
    <w:multiLevelType w:val="hybridMultilevel"/>
    <w:tmpl w:val="00843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C5077"/>
    <w:multiLevelType w:val="hybridMultilevel"/>
    <w:tmpl w:val="3AD68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D72"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Arial Unicode MS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906FA"/>
    <w:multiLevelType w:val="hybridMultilevel"/>
    <w:tmpl w:val="CE0E90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FB"/>
    <w:rsid w:val="007C2AB0"/>
    <w:rsid w:val="00A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53AE-0A88-4FD5-82E9-7B03DAC4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24FB"/>
    <w:pPr>
      <w:keepNext/>
      <w:autoSpaceDE w:val="0"/>
      <w:autoSpaceDN w:val="0"/>
      <w:jc w:val="both"/>
      <w:outlineLvl w:val="0"/>
    </w:pPr>
    <w:rPr>
      <w:rFonts w:ascii="Garamond" w:hAnsi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824FB"/>
    <w:pPr>
      <w:keepNext/>
      <w:autoSpaceDE w:val="0"/>
      <w:autoSpaceDN w:val="0"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24FB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824FB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Normlnweb">
    <w:name w:val="Normal (Web)"/>
    <w:basedOn w:val="Normln"/>
    <w:semiHidden/>
    <w:unhideWhenUsed/>
    <w:rsid w:val="00A824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semiHidden/>
    <w:unhideWhenUsed/>
    <w:rsid w:val="00A824FB"/>
    <w:pPr>
      <w:widowControl w:val="0"/>
      <w:autoSpaceDE w:val="0"/>
      <w:autoSpaceDN w:val="0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824FB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A8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2018-07-27T09:08:00Z</dcterms:created>
  <dcterms:modified xsi:type="dcterms:W3CDTF">2018-07-27T09:09:00Z</dcterms:modified>
</cp:coreProperties>
</file>