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DB" w:rsidRDefault="00765DDB">
      <w:pPr>
        <w:pStyle w:val="TitleA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765DDB" w:rsidRDefault="00EE1EDB">
      <w:pPr>
        <w:pStyle w:val="TitleA"/>
        <w:rPr>
          <w:rStyle w:val="slostrnky"/>
          <w:rFonts w:ascii="Cambria" w:eastAsia="Cambria" w:hAnsi="Cambria" w:cs="Cambria"/>
          <w:sz w:val="28"/>
          <w:szCs w:val="28"/>
        </w:rPr>
      </w:pPr>
      <w:r>
        <w:rPr>
          <w:rStyle w:val="slostrnky"/>
          <w:rFonts w:ascii="Cambria" w:eastAsia="Cambria" w:hAnsi="Cambria" w:cs="Cambria"/>
          <w:sz w:val="28"/>
          <w:szCs w:val="28"/>
        </w:rPr>
        <w:t>SMLOUVA O SPOLUPOŘ</w:t>
      </w:r>
      <w:r>
        <w:rPr>
          <w:rStyle w:val="slostrnky"/>
          <w:rFonts w:ascii="Cambria" w:eastAsia="Cambria" w:hAnsi="Cambria" w:cs="Cambria"/>
          <w:sz w:val="28"/>
          <w:szCs w:val="28"/>
          <w:lang w:val="de-DE"/>
        </w:rPr>
        <w:t>ADATELSTV</w:t>
      </w:r>
      <w:r>
        <w:rPr>
          <w:rStyle w:val="slostrnky"/>
          <w:rFonts w:ascii="Cambria" w:eastAsia="Cambria" w:hAnsi="Cambria" w:cs="Cambria"/>
          <w:sz w:val="28"/>
          <w:szCs w:val="28"/>
        </w:rPr>
        <w:t xml:space="preserve">Í </w:t>
      </w:r>
    </w:p>
    <w:p w:rsidR="00765DDB" w:rsidRDefault="00765DDB">
      <w:pPr>
        <w:pStyle w:val="TitleA"/>
        <w:rPr>
          <w:rFonts w:ascii="Cambria" w:eastAsia="Cambria" w:hAnsi="Cambria" w:cs="Cambria"/>
          <w:sz w:val="20"/>
          <w:szCs w:val="20"/>
        </w:rPr>
      </w:pPr>
    </w:p>
    <w:p w:rsidR="00765DDB" w:rsidRDefault="00EE1EDB">
      <w:pPr>
        <w:pStyle w:val="Body"/>
        <w:rPr>
          <w:rStyle w:val="slostrnky"/>
          <w:rFonts w:ascii="Cambria" w:eastAsia="Cambria" w:hAnsi="Cambria" w:cs="Cambria"/>
          <w:b/>
          <w:bCs/>
          <w:caps/>
          <w:sz w:val="22"/>
          <w:szCs w:val="22"/>
        </w:rPr>
      </w:pPr>
      <w:r>
        <w:rPr>
          <w:rStyle w:val="slostrnky"/>
          <w:rFonts w:ascii="Cambria" w:eastAsia="Cambria" w:hAnsi="Cambria" w:cs="Cambria"/>
          <w:b/>
          <w:bCs/>
          <w:caps/>
          <w:sz w:val="22"/>
          <w:szCs w:val="22"/>
        </w:rPr>
        <w:t>Česká centra</w:t>
      </w:r>
    </w:p>
    <w:p w:rsidR="00765DDB" w:rsidRDefault="00765DDB">
      <w:pPr>
        <w:pStyle w:val="Body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Se s</w:t>
      </w:r>
      <w:r>
        <w:rPr>
          <w:rStyle w:val="slostrnky"/>
          <w:rFonts w:ascii="Cambria" w:eastAsia="Cambria" w:hAnsi="Cambria" w:cs="Cambria"/>
          <w:sz w:val="22"/>
          <w:szCs w:val="22"/>
        </w:rPr>
        <w:t>ídlem: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Václavsk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nám. 49, 110 00 Praha 1</w:t>
      </w:r>
    </w:p>
    <w:p w:rsidR="00765DDB" w:rsidRDefault="00EE1EDB">
      <w:pPr>
        <w:pStyle w:val="Body"/>
        <w:ind w:left="2127" w:hanging="2127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Zastoupena:                    Mgr. Monikou Koblerovou, ředitelkou Úseku kulturní diplomacie a Czech Centres Network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 xml:space="preserve">IČ: 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48546038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DIČ: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CZ48546038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 xml:space="preserve">Bankovní spojení: 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Česká národní banka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Číslo účtu: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17233011/0710</w:t>
      </w:r>
      <w:r>
        <w:rPr>
          <w:rStyle w:val="slostrnky"/>
          <w:rFonts w:ascii="Cambria" w:eastAsia="Cambria" w:hAnsi="Cambria" w:cs="Cambria"/>
          <w:lang w:val="de-DE"/>
        </w:rPr>
        <w:t xml:space="preserve"> 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 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(dále jen „ČC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“</w:t>
      </w:r>
      <w:r>
        <w:rPr>
          <w:rStyle w:val="slostrnky"/>
          <w:rFonts w:ascii="Cambria" w:eastAsia="Cambria" w:hAnsi="Cambria" w:cs="Cambria"/>
          <w:sz w:val="22"/>
          <w:szCs w:val="22"/>
        </w:rPr>
        <w:t>)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</w:p>
    <w:p w:rsidR="00765DDB" w:rsidRDefault="00765DDB">
      <w:pPr>
        <w:pStyle w:val="Body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a</w:t>
      </w:r>
    </w:p>
    <w:p w:rsidR="00765DDB" w:rsidRDefault="00765DDB">
      <w:pPr>
        <w:pStyle w:val="Body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ody"/>
        <w:rPr>
          <w:rStyle w:val="slostrnky"/>
          <w:rFonts w:ascii="Cambria" w:eastAsia="Cambria" w:hAnsi="Cambria" w:cs="Cambria"/>
          <w:b/>
          <w:bCs/>
          <w:caps/>
          <w:sz w:val="22"/>
          <w:szCs w:val="22"/>
        </w:rPr>
      </w:pPr>
      <w:r>
        <w:rPr>
          <w:rStyle w:val="slostrnky"/>
          <w:rFonts w:ascii="Cambria" w:eastAsia="Cambria" w:hAnsi="Cambria" w:cs="Cambria"/>
          <w:b/>
          <w:bCs/>
          <w:caps/>
          <w:sz w:val="22"/>
          <w:szCs w:val="22"/>
        </w:rPr>
        <w:t>moravská zemská knihovna V </w:t>
      </w:r>
      <w:r>
        <w:rPr>
          <w:rStyle w:val="slostrnky"/>
          <w:rFonts w:ascii="Cambria" w:eastAsia="Cambria" w:hAnsi="Cambria" w:cs="Cambria"/>
          <w:b/>
          <w:bCs/>
          <w:caps/>
          <w:sz w:val="22"/>
          <w:szCs w:val="22"/>
          <w:lang w:val="de-DE"/>
        </w:rPr>
        <w:t>BRN</w:t>
      </w:r>
      <w:r>
        <w:rPr>
          <w:rStyle w:val="slostrnky"/>
          <w:rFonts w:ascii="Cambria" w:eastAsia="Cambria" w:hAnsi="Cambria" w:cs="Cambria"/>
          <w:b/>
          <w:bCs/>
          <w:caps/>
          <w:sz w:val="22"/>
          <w:szCs w:val="22"/>
        </w:rPr>
        <w:t>Ě</w:t>
      </w:r>
    </w:p>
    <w:p w:rsidR="00765DDB" w:rsidRDefault="00765DDB">
      <w:pPr>
        <w:pStyle w:val="Body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Se s</w:t>
      </w:r>
      <w:r>
        <w:rPr>
          <w:rStyle w:val="slostrnky"/>
          <w:rFonts w:ascii="Cambria" w:eastAsia="Cambria" w:hAnsi="Cambria" w:cs="Cambria"/>
          <w:sz w:val="22"/>
          <w:szCs w:val="22"/>
        </w:rPr>
        <w:t>í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 xml:space="preserve">dlem: 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ab/>
        <w:t>Kounicova 65a, 601 87 Brno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Zastoupen: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prof. PhDr. Tomáš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em Kub</w:t>
      </w:r>
      <w:r>
        <w:rPr>
          <w:rStyle w:val="slostrnky"/>
          <w:rFonts w:ascii="Cambria" w:eastAsia="Cambria" w:hAnsi="Cambria" w:cs="Cambria"/>
          <w:sz w:val="22"/>
          <w:szCs w:val="22"/>
        </w:rPr>
        <w:t>íčkem, Ph.D., ředitelem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 xml:space="preserve">Tel./fax: 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  <w:t xml:space="preserve">              +420</w:t>
      </w:r>
      <w:r>
        <w:rPr>
          <w:rStyle w:val="slostrnky"/>
          <w:rFonts w:ascii="Cambria" w:eastAsia="Cambria" w:hAnsi="Cambria" w:cs="Cambria"/>
          <w:sz w:val="22"/>
          <w:szCs w:val="22"/>
        </w:rPr>
        <w:t> 541 646 101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E-mail:                              tomas.kubicek@mzk.cz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IČ: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00094943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 xml:space="preserve">DIČ: 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CZ00094943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 xml:space="preserve">Bankovní spojení: 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  <w:t>Česká národní banka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Číslo úč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 xml:space="preserve">tu:        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  <w:t xml:space="preserve">              197638621/0710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(dále jen „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Partner“</w:t>
      </w:r>
      <w:r>
        <w:rPr>
          <w:rStyle w:val="slostrnky"/>
          <w:rFonts w:ascii="Cambria" w:eastAsia="Cambria" w:hAnsi="Cambria" w:cs="Cambria"/>
          <w:sz w:val="22"/>
          <w:szCs w:val="22"/>
        </w:rPr>
        <w:t>)</w:t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</w:rPr>
        <w:tab/>
      </w:r>
    </w:p>
    <w:p w:rsidR="00765DDB" w:rsidRDefault="00765DDB">
      <w:pPr>
        <w:pStyle w:val="Body"/>
        <w:ind w:left="567" w:hanging="567"/>
        <w:rPr>
          <w:rFonts w:ascii="Cambria" w:eastAsia="Cambria" w:hAnsi="Cambria" w:cs="Cambria"/>
          <w:sz w:val="22"/>
          <w:szCs w:val="22"/>
        </w:rPr>
      </w:pPr>
    </w:p>
    <w:p w:rsidR="00765DDB" w:rsidRDefault="00765DDB">
      <w:pPr>
        <w:pStyle w:val="Body"/>
        <w:ind w:left="567" w:hanging="567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ezmezer"/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uzavřeli níže uveden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ho dne, měsíce a roku na základě ustanovení § 1746 odst. 2 zák. č. 89/2012 Sb., obč</w:t>
      </w:r>
      <w:r>
        <w:rPr>
          <w:rStyle w:val="slostrnky"/>
          <w:rFonts w:ascii="Cambria" w:eastAsia="Cambria" w:hAnsi="Cambria" w:cs="Cambria"/>
          <w:sz w:val="22"/>
          <w:szCs w:val="22"/>
          <w:lang w:val="da-DK"/>
        </w:rPr>
        <w:t>ansk</w:t>
      </w:r>
      <w:r>
        <w:rPr>
          <w:rStyle w:val="slostrnky"/>
          <w:rFonts w:ascii="Cambria" w:eastAsia="Cambria" w:hAnsi="Cambria" w:cs="Cambria"/>
          <w:sz w:val="22"/>
          <w:szCs w:val="22"/>
        </w:rPr>
        <w:t>ý zákoník, tuto Smlouvu o spolupořadatelství/partnerství:</w:t>
      </w:r>
    </w:p>
    <w:p w:rsidR="00765DDB" w:rsidRDefault="00765DDB">
      <w:pPr>
        <w:pStyle w:val="Body"/>
        <w:jc w:val="center"/>
        <w:rPr>
          <w:rStyle w:val="slostrnky"/>
          <w:rFonts w:ascii="Cambria" w:eastAsia="Cambria" w:hAnsi="Cambria" w:cs="Cambria"/>
          <w:b/>
          <w:bCs/>
          <w:caps/>
        </w:rPr>
      </w:pPr>
    </w:p>
    <w:p w:rsidR="00765DDB" w:rsidRDefault="00765DDB">
      <w:pPr>
        <w:pStyle w:val="Body"/>
        <w:jc w:val="center"/>
        <w:rPr>
          <w:rStyle w:val="slostrnky"/>
          <w:rFonts w:ascii="Cambria" w:eastAsia="Cambria" w:hAnsi="Cambria" w:cs="Cambria"/>
          <w:b/>
          <w:bCs/>
          <w:caps/>
        </w:rPr>
      </w:pPr>
    </w:p>
    <w:p w:rsidR="00765DDB" w:rsidRDefault="00EE1EDB">
      <w:pPr>
        <w:pStyle w:val="Body"/>
        <w:jc w:val="center"/>
        <w:rPr>
          <w:rStyle w:val="slostrnky"/>
          <w:rFonts w:ascii="Cambria" w:eastAsia="Cambria" w:hAnsi="Cambria" w:cs="Cambria"/>
          <w:b/>
          <w:bCs/>
          <w:caps/>
        </w:rPr>
      </w:pPr>
      <w:r>
        <w:rPr>
          <w:rStyle w:val="slostrnky"/>
          <w:rFonts w:ascii="Cambria" w:eastAsia="Cambria" w:hAnsi="Cambria" w:cs="Cambria"/>
          <w:b/>
          <w:bCs/>
          <w:caps/>
        </w:rPr>
        <w:t>I.</w:t>
      </w:r>
    </w:p>
    <w:p w:rsidR="00765DDB" w:rsidRDefault="00EE1EDB">
      <w:pPr>
        <w:pStyle w:val="Body"/>
        <w:jc w:val="center"/>
        <w:rPr>
          <w:rStyle w:val="slostrnky"/>
          <w:rFonts w:ascii="Cambria" w:eastAsia="Cambria" w:hAnsi="Cambria" w:cs="Cambria"/>
          <w:b/>
          <w:bCs/>
          <w:caps/>
        </w:rPr>
      </w:pPr>
      <w:r>
        <w:rPr>
          <w:rStyle w:val="slostrnky"/>
          <w:rFonts w:ascii="Cambria" w:eastAsia="Cambria" w:hAnsi="Cambria" w:cs="Cambria"/>
          <w:b/>
          <w:bCs/>
          <w:caps/>
        </w:rPr>
        <w:t>Předmět smlouvy</w:t>
      </w:r>
    </w:p>
    <w:p w:rsidR="00765DDB" w:rsidRDefault="00765DDB">
      <w:pPr>
        <w:pStyle w:val="Body"/>
        <w:ind w:left="567" w:hanging="567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ezmezer"/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Č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>C a Partner v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 souladu s čl. II. odst. 4 písm. l) bod 5 zřizovací listiny Partnera spolupořádají 5. ročník Mezinárodní 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sout</w:t>
      </w:r>
      <w:r>
        <w:rPr>
          <w:rStyle w:val="slostrnky"/>
          <w:rFonts w:ascii="Cambria" w:eastAsia="Cambria" w:hAnsi="Cambria" w:cs="Cambria"/>
          <w:sz w:val="22"/>
          <w:szCs w:val="22"/>
        </w:rPr>
        <w:t>ěže pro mlad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překladatele Cena Susanny Roth 2018 určen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mladý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m p</w:t>
      </w:r>
      <w:r>
        <w:rPr>
          <w:rStyle w:val="slostrnky"/>
          <w:rFonts w:ascii="Cambria" w:eastAsia="Cambria" w:hAnsi="Cambria" w:cs="Cambria"/>
          <w:sz w:val="22"/>
          <w:szCs w:val="22"/>
        </w:rPr>
        <w:t>řekladatelům do 40 let (dále jen „akce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“</w:t>
      </w:r>
      <w:r>
        <w:rPr>
          <w:rStyle w:val="slostrnky"/>
          <w:rFonts w:ascii="Cambria" w:eastAsia="Cambria" w:hAnsi="Cambria" w:cs="Cambria"/>
          <w:sz w:val="22"/>
          <w:szCs w:val="22"/>
        </w:rPr>
        <w:t>), v jejímž rámci je udílena Cena Susanny Roth mj. spočívající v několikadenní návštěvě ČR spojen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s účastí na odborn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>m a networkingov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m programu Překladatelsk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ho semináře konan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ho dne 14. 7. 2018 v Praze a Bohemistick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ho semináře konan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ho ve dnech 15. – 21. 7. 2018 ve Zlíně (dále 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“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semin</w:t>
      </w:r>
      <w:r>
        <w:rPr>
          <w:rStyle w:val="slostrnky"/>
          <w:rFonts w:ascii="Cambria" w:eastAsia="Cambria" w:hAnsi="Cambria" w:cs="Cambria"/>
          <w:sz w:val="22"/>
          <w:szCs w:val="22"/>
        </w:rPr>
        <w:t>áře”), který je pořádaný Moravskou zemskou knihovnou v Brně z pověření Ministerstva kultury ČR. Předmětem smlouvy, uzavíran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v rámci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akce, je dohoda o příspěvku na cestovní náklady do Č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R v</w:t>
      </w:r>
      <w:r>
        <w:rPr>
          <w:rStyle w:val="slostrnky"/>
          <w:rFonts w:ascii="Cambria" w:eastAsia="Cambria" w:hAnsi="Cambria" w:cs="Cambria"/>
          <w:sz w:val="22"/>
          <w:szCs w:val="22"/>
        </w:rPr>
        <w:t>ítězný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m p</w:t>
      </w:r>
      <w:r>
        <w:rPr>
          <w:rStyle w:val="slostrnky"/>
          <w:rFonts w:ascii="Cambria" w:eastAsia="Cambria" w:hAnsi="Cambria" w:cs="Cambria"/>
          <w:sz w:val="22"/>
          <w:szCs w:val="22"/>
        </w:rPr>
        <w:t>řekladatelům soutěž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e (d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ále 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“</w:t>
      </w:r>
      <w:r>
        <w:rPr>
          <w:rStyle w:val="slostrnky"/>
          <w:rFonts w:ascii="Cambria" w:eastAsia="Cambria" w:hAnsi="Cambria" w:cs="Cambria"/>
          <w:sz w:val="22"/>
          <w:szCs w:val="22"/>
        </w:rPr>
        <w:t>vítězové”) z Bulharska, Japonska, Itálie, Korejsk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republiky, Litvy, Německa, Makedonie, Maďarska, Polska, Rakouska, Ruska, Srbska, Ukrajiny a Velk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Británie a zpět za účelem jejich pobytu v Č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R v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 rámci předávání 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 xml:space="preserve">Ceny Susanny Roth a </w:t>
      </w:r>
      <w:r>
        <w:rPr>
          <w:rStyle w:val="slostrnky"/>
          <w:rFonts w:ascii="Cambria" w:eastAsia="Cambria" w:hAnsi="Cambria" w:cs="Cambria"/>
          <w:sz w:val="22"/>
          <w:szCs w:val="22"/>
        </w:rPr>
        <w:t>účasti na výše uveden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m programu seminářů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>. Sout</w:t>
      </w:r>
      <w:r>
        <w:rPr>
          <w:rStyle w:val="slostrnky"/>
          <w:rFonts w:ascii="Cambria" w:eastAsia="Cambria" w:hAnsi="Cambria" w:cs="Cambria"/>
          <w:sz w:val="22"/>
          <w:szCs w:val="22"/>
        </w:rPr>
        <w:t>ěže v zahraniční byly spolupořádány českými centry v Berlíně, Budapešti, Kyjevě, Londýně, Miláně, Mnichově, Moskvě, Sofii, Soulu, Tokiu, Varšavě a Vídni a zastupitelskými úřady v Bělehradu, Minsku, Skopje, Vilniusu a Záhřebu.</w:t>
      </w:r>
    </w:p>
    <w:p w:rsidR="00765DDB" w:rsidRDefault="00765DDB">
      <w:pPr>
        <w:pStyle w:val="Body"/>
        <w:ind w:left="708" w:hanging="708"/>
        <w:rPr>
          <w:rFonts w:ascii="Cambria" w:eastAsia="Cambria" w:hAnsi="Cambria" w:cs="Cambria"/>
          <w:sz w:val="22"/>
          <w:szCs w:val="22"/>
        </w:rPr>
      </w:pPr>
    </w:p>
    <w:p w:rsidR="00765DDB" w:rsidRDefault="00765DDB">
      <w:pPr>
        <w:pStyle w:val="Body"/>
        <w:ind w:left="708" w:hanging="708"/>
        <w:rPr>
          <w:rFonts w:ascii="Cambria" w:eastAsia="Cambria" w:hAnsi="Cambria" w:cs="Cambria"/>
          <w:sz w:val="22"/>
          <w:szCs w:val="22"/>
        </w:rPr>
      </w:pPr>
    </w:p>
    <w:p w:rsidR="00765DDB" w:rsidRDefault="00765DDB">
      <w:pPr>
        <w:pStyle w:val="Body"/>
        <w:ind w:left="708" w:hanging="708"/>
        <w:rPr>
          <w:rFonts w:ascii="Cambria" w:eastAsia="Cambria" w:hAnsi="Cambria" w:cs="Cambria"/>
          <w:sz w:val="22"/>
          <w:szCs w:val="22"/>
        </w:rPr>
      </w:pPr>
    </w:p>
    <w:p w:rsidR="00765DDB" w:rsidRDefault="00765DDB">
      <w:pPr>
        <w:pStyle w:val="Body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ezmezer"/>
        <w:tabs>
          <w:tab w:val="left" w:pos="4470"/>
        </w:tabs>
        <w:ind w:left="426"/>
        <w:jc w:val="both"/>
        <w:rPr>
          <w:rStyle w:val="slostrnky"/>
          <w:rFonts w:ascii="Cambria" w:eastAsia="Cambria" w:hAnsi="Cambria" w:cs="Cambria"/>
          <w:b/>
          <w:bCs/>
          <w:caps/>
        </w:rPr>
      </w:pP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lastRenderedPageBreak/>
        <w:tab/>
        <w:t xml:space="preserve">       </w:t>
      </w:r>
      <w:r>
        <w:rPr>
          <w:rStyle w:val="slostrnky"/>
          <w:rFonts w:ascii="Cambria" w:eastAsia="Cambria" w:hAnsi="Cambria" w:cs="Cambria"/>
          <w:b/>
          <w:bCs/>
          <w:caps/>
        </w:rPr>
        <w:t xml:space="preserve">II. </w:t>
      </w:r>
    </w:p>
    <w:p w:rsidR="00765DDB" w:rsidRDefault="00EE1EDB">
      <w:pPr>
        <w:pStyle w:val="Bezmezer"/>
        <w:jc w:val="center"/>
        <w:rPr>
          <w:rStyle w:val="slostrnky"/>
          <w:rFonts w:ascii="Cambria" w:eastAsia="Cambria" w:hAnsi="Cambria" w:cs="Cambria"/>
          <w:b/>
          <w:bCs/>
          <w:caps/>
        </w:rPr>
      </w:pPr>
      <w:r>
        <w:rPr>
          <w:rStyle w:val="slostrnky"/>
          <w:rFonts w:ascii="Cambria" w:eastAsia="Cambria" w:hAnsi="Cambria" w:cs="Cambria"/>
          <w:b/>
          <w:bCs/>
          <w:caps/>
        </w:rPr>
        <w:t>Závazky ČC</w:t>
      </w:r>
    </w:p>
    <w:p w:rsidR="00765DDB" w:rsidRDefault="00765DDB">
      <w:pPr>
        <w:pStyle w:val="Bezmezer"/>
        <w:jc w:val="center"/>
        <w:rPr>
          <w:rStyle w:val="slostrnky"/>
          <w:rFonts w:ascii="Cambria" w:eastAsia="Cambria" w:hAnsi="Cambria" w:cs="Cambria"/>
          <w:b/>
          <w:bCs/>
          <w:caps/>
        </w:rPr>
      </w:pPr>
    </w:p>
    <w:p w:rsidR="00765DDB" w:rsidRDefault="00EE1EDB">
      <w:pPr>
        <w:pStyle w:val="Bezmezer"/>
        <w:numPr>
          <w:ilvl w:val="0"/>
          <w:numId w:val="2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ČC zajistí dopravu vítězů uvedených v č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l. I.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z letiště v příslušn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zemi uveden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br/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v čl. I. smlouvy do ČR (Praha) na předání 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 xml:space="preserve">Ceny Susanny Roth a na </w:t>
      </w:r>
      <w:r>
        <w:rPr>
          <w:rStyle w:val="slostrnky"/>
          <w:rFonts w:ascii="Cambria" w:eastAsia="Cambria" w:hAnsi="Cambria" w:cs="Cambria"/>
          <w:sz w:val="22"/>
          <w:szCs w:val="22"/>
        </w:rPr>
        <w:t>účast na seminářích dle č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l. I.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a zpě</w:t>
      </w:r>
      <w:r>
        <w:rPr>
          <w:rStyle w:val="slostrnky"/>
          <w:rFonts w:ascii="Cambria" w:eastAsia="Cambria" w:hAnsi="Cambria" w:cs="Cambria"/>
          <w:sz w:val="22"/>
          <w:szCs w:val="22"/>
          <w:lang w:val="nl-NL"/>
        </w:rPr>
        <w:t>t z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 ČR (Praha) na letiště 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do p</w:t>
      </w:r>
      <w:r>
        <w:rPr>
          <w:rStyle w:val="slostrnky"/>
          <w:rFonts w:ascii="Cambria" w:eastAsia="Cambria" w:hAnsi="Cambria" w:cs="Cambria"/>
          <w:sz w:val="22"/>
          <w:szCs w:val="22"/>
        </w:rPr>
        <w:t>říslušn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země.</w:t>
      </w:r>
    </w:p>
    <w:p w:rsidR="00765DDB" w:rsidRDefault="00EE1EDB">
      <w:pPr>
        <w:pStyle w:val="Bezmezer"/>
        <w:numPr>
          <w:ilvl w:val="0"/>
          <w:numId w:val="2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ČC uhradí cestovní náklady (dopravu) vítězů uvedených v č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l. I.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osobám zajišťujícím tuto dopravu. Uhrazeny budou tak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náklady v rámci pražsk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městsk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hromadn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dopravy ve dnech 13. -15. 7. 2018 související 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s programem P</w:t>
      </w:r>
      <w:r>
        <w:rPr>
          <w:rStyle w:val="slostrnky"/>
          <w:rFonts w:ascii="Cambria" w:eastAsia="Cambria" w:hAnsi="Cambria" w:cs="Cambria"/>
          <w:sz w:val="22"/>
          <w:szCs w:val="22"/>
        </w:rPr>
        <w:t>řekladatelsk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ho semináře (dne 14. 7. 2018) </w:t>
      </w:r>
      <w:r>
        <w:rPr>
          <w:rStyle w:val="slostrnky"/>
          <w:rFonts w:ascii="Cambria" w:eastAsia="Cambria" w:hAnsi="Cambria" w:cs="Cambria"/>
          <w:sz w:val="22"/>
          <w:szCs w:val="22"/>
        </w:rPr>
        <w:br/>
        <w:t>a př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esun</w:t>
      </w:r>
      <w:r>
        <w:rPr>
          <w:rStyle w:val="slostrnky"/>
          <w:rFonts w:ascii="Cambria" w:eastAsia="Cambria" w:hAnsi="Cambria" w:cs="Cambria"/>
          <w:sz w:val="22"/>
          <w:szCs w:val="22"/>
        </w:rPr>
        <w:t>ů spojených s pří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letem/p</w:t>
      </w:r>
      <w:r>
        <w:rPr>
          <w:rStyle w:val="slostrnky"/>
          <w:rFonts w:ascii="Cambria" w:eastAsia="Cambria" w:hAnsi="Cambria" w:cs="Cambria"/>
          <w:sz w:val="22"/>
          <w:szCs w:val="22"/>
        </w:rPr>
        <w:t>říjezdem (dne 13. 7. 2018) do Prahy a odjezdem do Zlína (dne 15. 7. 2018; přesun z hotelu na autobusov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/vlakov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nádraží) na Bohemistický 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semin</w:t>
      </w:r>
      <w:r>
        <w:rPr>
          <w:rStyle w:val="slostrnky"/>
          <w:rFonts w:ascii="Cambria" w:eastAsia="Cambria" w:hAnsi="Cambria" w:cs="Cambria"/>
          <w:sz w:val="22"/>
          <w:szCs w:val="22"/>
        </w:rPr>
        <w:t>ář.</w:t>
      </w:r>
    </w:p>
    <w:p w:rsidR="00765DDB" w:rsidRDefault="00EE1EDB">
      <w:pPr>
        <w:pStyle w:val="Bezmezer"/>
        <w:numPr>
          <w:ilvl w:val="0"/>
          <w:numId w:val="2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ČC uvede Partnera na propagační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ch materi</w:t>
      </w:r>
      <w:r>
        <w:rPr>
          <w:rStyle w:val="slostrnky"/>
          <w:rFonts w:ascii="Cambria" w:eastAsia="Cambria" w:hAnsi="Cambria" w:cs="Cambria"/>
          <w:sz w:val="22"/>
          <w:szCs w:val="22"/>
        </w:rPr>
        <w:t>á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>lech a webov</w:t>
      </w:r>
      <w:r>
        <w:rPr>
          <w:rStyle w:val="slostrnky"/>
          <w:rFonts w:ascii="Cambria" w:eastAsia="Cambria" w:hAnsi="Cambria" w:cs="Cambria"/>
          <w:sz w:val="22"/>
          <w:szCs w:val="22"/>
        </w:rPr>
        <w:t>ých prezentacích jako spolupořadatele akce. Uvedení loga na propagační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ch materi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álech akce není považováno za poskytnutí služeb reklamy. </w:t>
      </w:r>
    </w:p>
    <w:p w:rsidR="00765DDB" w:rsidRDefault="00765DDB">
      <w:pPr>
        <w:pStyle w:val="Bezmezer"/>
        <w:ind w:left="426"/>
        <w:jc w:val="both"/>
        <w:rPr>
          <w:rFonts w:ascii="Cambria" w:eastAsia="Cambria" w:hAnsi="Cambria" w:cs="Cambria"/>
          <w:sz w:val="22"/>
          <w:szCs w:val="22"/>
        </w:rPr>
      </w:pPr>
    </w:p>
    <w:p w:rsidR="00765DDB" w:rsidRDefault="00765DDB">
      <w:pPr>
        <w:pStyle w:val="Bezmezer"/>
        <w:ind w:left="426"/>
        <w:jc w:val="both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ezmezer"/>
        <w:jc w:val="center"/>
        <w:rPr>
          <w:rStyle w:val="slostrnky"/>
          <w:rFonts w:ascii="Cambria" w:eastAsia="Cambria" w:hAnsi="Cambria" w:cs="Cambria"/>
          <w:b/>
          <w:bCs/>
          <w:caps/>
        </w:rPr>
      </w:pPr>
      <w:r>
        <w:rPr>
          <w:rStyle w:val="slostrnky"/>
          <w:rFonts w:ascii="Cambria" w:eastAsia="Cambria" w:hAnsi="Cambria" w:cs="Cambria"/>
          <w:b/>
          <w:bCs/>
          <w:caps/>
        </w:rPr>
        <w:t>III.</w:t>
      </w:r>
    </w:p>
    <w:p w:rsidR="00765DDB" w:rsidRDefault="00EE1EDB">
      <w:pPr>
        <w:pStyle w:val="Bezmezer"/>
        <w:jc w:val="center"/>
        <w:rPr>
          <w:rStyle w:val="slostrnky"/>
          <w:rFonts w:ascii="Cambria" w:eastAsia="Cambria" w:hAnsi="Cambria" w:cs="Cambria"/>
          <w:b/>
          <w:bCs/>
          <w:caps/>
        </w:rPr>
      </w:pPr>
      <w:r>
        <w:rPr>
          <w:rStyle w:val="slostrnky"/>
          <w:rFonts w:ascii="Cambria" w:eastAsia="Cambria" w:hAnsi="Cambria" w:cs="Cambria"/>
          <w:b/>
          <w:bCs/>
          <w:caps/>
        </w:rPr>
        <w:t>ZÁ</w:t>
      </w:r>
      <w:r>
        <w:rPr>
          <w:rStyle w:val="slostrnky"/>
          <w:rFonts w:ascii="Cambria" w:eastAsia="Cambria" w:hAnsi="Cambria" w:cs="Cambria"/>
          <w:b/>
          <w:bCs/>
          <w:caps/>
          <w:lang w:val="de-DE"/>
        </w:rPr>
        <w:t>VAZKY</w:t>
      </w:r>
      <w:r>
        <w:rPr>
          <w:rStyle w:val="slostrnky"/>
          <w:rFonts w:ascii="Cambria" w:eastAsia="Cambria" w:hAnsi="Cambria" w:cs="Cambria"/>
        </w:rPr>
        <w:t xml:space="preserve"> </w:t>
      </w:r>
      <w:r>
        <w:rPr>
          <w:rStyle w:val="slostrnky"/>
          <w:rFonts w:ascii="Cambria" w:eastAsia="Cambria" w:hAnsi="Cambria" w:cs="Cambria"/>
          <w:b/>
          <w:bCs/>
          <w:caps/>
          <w:lang w:val="de-DE"/>
        </w:rPr>
        <w:t xml:space="preserve">PARTNERA </w:t>
      </w:r>
    </w:p>
    <w:p w:rsidR="00765DDB" w:rsidRDefault="00765DDB">
      <w:pPr>
        <w:pStyle w:val="Body"/>
        <w:jc w:val="center"/>
        <w:rPr>
          <w:rFonts w:ascii="Cambria" w:eastAsia="Cambria" w:hAnsi="Cambria" w:cs="Cambria"/>
          <w:b/>
          <w:bCs/>
        </w:rPr>
      </w:pPr>
    </w:p>
    <w:p w:rsidR="00765DDB" w:rsidRDefault="00EE1EDB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Smluvní strany se dohodly, že Partner se bude podílet na nákladech spojený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ch s</w:t>
      </w:r>
      <w:r>
        <w:rPr>
          <w:rStyle w:val="slostrnky"/>
          <w:rFonts w:ascii="Cambria" w:eastAsia="Cambria" w:hAnsi="Cambria" w:cs="Cambria"/>
          <w:sz w:val="22"/>
          <w:szCs w:val="22"/>
        </w:rPr>
        <w:t> uhrazením cestovní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ch n</w:t>
      </w:r>
      <w:r>
        <w:rPr>
          <w:rStyle w:val="slostrnky"/>
          <w:rFonts w:ascii="Cambria" w:eastAsia="Cambria" w:hAnsi="Cambria" w:cs="Cambria"/>
          <w:sz w:val="22"/>
          <w:szCs w:val="22"/>
        </w:rPr>
        <w:t>ákladů (dopravy) dle č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l. I. a II.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to smlouvy částkou </w:t>
      </w:r>
      <w:r w:rsidR="003D0BF0">
        <w:rPr>
          <w:rStyle w:val="slostrnky"/>
          <w:rFonts w:ascii="Cambria" w:eastAsia="Cambria" w:hAnsi="Cambria" w:cs="Cambria"/>
          <w:sz w:val="22"/>
          <w:szCs w:val="22"/>
        </w:rPr>
        <w:t>55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 000,- Kč (slovy: </w:t>
      </w:r>
      <w:r w:rsidR="003D0BF0">
        <w:rPr>
          <w:rStyle w:val="slostrnky"/>
          <w:rFonts w:ascii="Cambria" w:eastAsia="Cambria" w:hAnsi="Cambria" w:cs="Cambria"/>
          <w:sz w:val="22"/>
          <w:szCs w:val="22"/>
        </w:rPr>
        <w:t>padesát pět</w:t>
      </w:r>
      <w:r>
        <w:rPr>
          <w:rStyle w:val="slostrnky"/>
          <w:rFonts w:ascii="Cambria" w:eastAsia="Cambria" w:hAnsi="Cambria" w:cs="Cambria"/>
          <w:sz w:val="22"/>
          <w:szCs w:val="22"/>
          <w:lang w:val="da-DK"/>
        </w:rPr>
        <w:t xml:space="preserve"> tis</w:t>
      </w:r>
      <w:r>
        <w:rPr>
          <w:rStyle w:val="slostrnky"/>
          <w:rFonts w:ascii="Cambria" w:eastAsia="Cambria" w:hAnsi="Cambria" w:cs="Cambria"/>
          <w:sz w:val="22"/>
          <w:szCs w:val="22"/>
        </w:rPr>
        <w:t>íc korun českých) tak, ž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 xml:space="preserve">e tuto </w:t>
      </w:r>
      <w:r>
        <w:rPr>
          <w:rStyle w:val="slostrnky"/>
          <w:rFonts w:ascii="Cambria" w:eastAsia="Cambria" w:hAnsi="Cambria" w:cs="Cambria"/>
          <w:sz w:val="22"/>
          <w:szCs w:val="22"/>
        </w:rPr>
        <w:t>částku uhradí Č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C.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 Tato částka se v souladu s § 36, odst.11 zák. č. 235/2004 Sb., o dani z př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idan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hodnoty nezahrnuje u ČC do základu daně. Jedná 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se o p</w:t>
      </w:r>
      <w:r>
        <w:rPr>
          <w:rStyle w:val="slostrnky"/>
          <w:rFonts w:ascii="Cambria" w:eastAsia="Cambria" w:hAnsi="Cambria" w:cs="Cambria"/>
          <w:sz w:val="22"/>
          <w:szCs w:val="22"/>
        </w:rPr>
        <w:t>řeúčtování části nákladů vynaložených jm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nem Partnera.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  Partnerovi nevzniká závazek uhradit jak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koliv cestovní náklady (dopravu) vítězům uvedeným v č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l. I.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nebo třetím osobám zajišťujícím toto cestování (dopravu). Výše příspěvku je konečná.</w:t>
      </w:r>
    </w:p>
    <w:p w:rsidR="00765DDB" w:rsidRDefault="00EE1EDB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Příspěvek bude uhrazen na základě faktury vystavené Č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 xml:space="preserve">C. </w:t>
      </w:r>
    </w:p>
    <w:p w:rsidR="00765DDB" w:rsidRDefault="00EE1EDB">
      <w:pPr>
        <w:pStyle w:val="Bezmezer"/>
        <w:numPr>
          <w:ilvl w:val="0"/>
          <w:numId w:val="4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Partner uhradí příspěvek ČC  nejpozději do 20. 8. 2018 na shora uvedený úč</w:t>
      </w:r>
      <w:r>
        <w:rPr>
          <w:rStyle w:val="slostrnky"/>
          <w:rFonts w:ascii="Cambria" w:eastAsia="Cambria" w:hAnsi="Cambria" w:cs="Cambria"/>
          <w:sz w:val="22"/>
          <w:szCs w:val="22"/>
          <w:lang w:val="da-DK"/>
        </w:rPr>
        <w:t xml:space="preserve">et </w:t>
      </w:r>
      <w:r>
        <w:rPr>
          <w:rStyle w:val="slostrnky"/>
          <w:rFonts w:ascii="Cambria" w:eastAsia="Cambria" w:hAnsi="Cambria" w:cs="Cambria"/>
          <w:sz w:val="22"/>
          <w:szCs w:val="22"/>
        </w:rPr>
        <w:t>Č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C.</w:t>
      </w:r>
    </w:p>
    <w:p w:rsidR="00765DDB" w:rsidRDefault="00765DDB">
      <w:pPr>
        <w:pStyle w:val="Bezmezer"/>
        <w:jc w:val="both"/>
        <w:rPr>
          <w:rFonts w:ascii="Cambria" w:eastAsia="Cambria" w:hAnsi="Cambria" w:cs="Cambria"/>
          <w:sz w:val="22"/>
          <w:szCs w:val="22"/>
        </w:rPr>
      </w:pPr>
    </w:p>
    <w:p w:rsidR="00765DDB" w:rsidRDefault="00765DDB">
      <w:pPr>
        <w:pStyle w:val="Bezmezer"/>
        <w:ind w:left="66"/>
        <w:jc w:val="both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ezmezer"/>
        <w:jc w:val="center"/>
        <w:rPr>
          <w:rStyle w:val="slostrnky"/>
          <w:rFonts w:ascii="Cambria" w:eastAsia="Cambria" w:hAnsi="Cambria" w:cs="Cambria"/>
          <w:b/>
          <w:bCs/>
          <w:caps/>
        </w:rPr>
      </w:pPr>
      <w:r>
        <w:rPr>
          <w:rStyle w:val="slostrnky"/>
          <w:rFonts w:ascii="Cambria" w:eastAsia="Cambria" w:hAnsi="Cambria" w:cs="Cambria"/>
          <w:b/>
          <w:bCs/>
          <w:caps/>
        </w:rPr>
        <w:t>IV.</w:t>
      </w:r>
    </w:p>
    <w:p w:rsidR="00765DDB" w:rsidRDefault="00EE1EDB">
      <w:pPr>
        <w:pStyle w:val="Bezmezer"/>
        <w:jc w:val="center"/>
        <w:rPr>
          <w:rStyle w:val="slostrnky"/>
          <w:rFonts w:ascii="Cambria" w:eastAsia="Cambria" w:hAnsi="Cambria" w:cs="Cambria"/>
          <w:b/>
          <w:bCs/>
          <w:caps/>
        </w:rPr>
      </w:pPr>
      <w:r>
        <w:rPr>
          <w:rStyle w:val="slostrnky"/>
          <w:rFonts w:ascii="Cambria" w:eastAsia="Cambria" w:hAnsi="Cambria" w:cs="Cambria"/>
          <w:b/>
          <w:bCs/>
          <w:caps/>
        </w:rPr>
        <w:t>Závěrečná ustanovení</w:t>
      </w:r>
    </w:p>
    <w:p w:rsidR="00765DDB" w:rsidRDefault="00765DDB">
      <w:pPr>
        <w:pStyle w:val="Bezmezer"/>
        <w:jc w:val="center"/>
        <w:rPr>
          <w:rStyle w:val="slostrnky"/>
          <w:rFonts w:ascii="Cambria" w:eastAsia="Cambria" w:hAnsi="Cambria" w:cs="Cambria"/>
          <w:b/>
          <w:bCs/>
          <w:caps/>
        </w:rPr>
      </w:pP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Vztahy vyplývající z 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smlouvy, avšak touto smlouvou výslovně neupraven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  <w:lang w:val="es-ES_tradnl"/>
        </w:rPr>
        <w:t xml:space="preserve">, se </w:t>
      </w:r>
      <w:r>
        <w:rPr>
          <w:rStyle w:val="slostrnky"/>
          <w:rFonts w:ascii="Cambria" w:eastAsia="Cambria" w:hAnsi="Cambria" w:cs="Cambria"/>
          <w:sz w:val="22"/>
          <w:szCs w:val="22"/>
        </w:rPr>
        <w:t>řídí český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m pr</w:t>
      </w:r>
      <w:r>
        <w:rPr>
          <w:rStyle w:val="slostrnky"/>
          <w:rFonts w:ascii="Cambria" w:eastAsia="Cambria" w:hAnsi="Cambria" w:cs="Cambria"/>
          <w:sz w:val="22"/>
          <w:szCs w:val="22"/>
        </w:rPr>
        <w:t>ávním řádem, zejm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na příslušnými ustanoveními obč</w:t>
      </w:r>
      <w:r>
        <w:rPr>
          <w:rStyle w:val="slostrnky"/>
          <w:rFonts w:ascii="Cambria" w:eastAsia="Cambria" w:hAnsi="Cambria" w:cs="Cambria"/>
          <w:sz w:val="22"/>
          <w:szCs w:val="22"/>
          <w:lang w:val="da-DK"/>
        </w:rPr>
        <w:t>ansk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ho zákoníku a souvisejícími obecně závaznými právní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mi p</w:t>
      </w:r>
      <w:r>
        <w:rPr>
          <w:rStyle w:val="slostrnky"/>
          <w:rFonts w:ascii="Cambria" w:eastAsia="Cambria" w:hAnsi="Cambria" w:cs="Cambria"/>
          <w:sz w:val="22"/>
          <w:szCs w:val="22"/>
        </w:rPr>
        <w:t>ředpisy, v platn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m znění. 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Smlouva nabývá platnosti a účinnosti dnem podpisu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oběma stranami. Pokud tato smlouva podl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há zveřejnění dle z. č. 340/2015 Sb., o registru smluv, ve znění pozdějších předpisů, nabývá účinnosti až dnem zveřejnění v tomto registru smluv. 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 xml:space="preserve">Tuto smlouvu mohou smluvní strany ukončit vzájemnou dohodou. Dohoda musí být učiněna písemně </w:t>
      </w:r>
      <w:r>
        <w:rPr>
          <w:rStyle w:val="slostrnky"/>
          <w:rFonts w:ascii="Cambria" w:eastAsia="Cambria" w:hAnsi="Cambria" w:cs="Cambria"/>
          <w:sz w:val="22"/>
          <w:szCs w:val="22"/>
        </w:rPr>
        <w:br/>
        <w:t>a podepsána zástupci obou stran. V dohodě musí být stanoveno, jakým způsobem budou vypořádány vzájemn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závazky.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Od smlouvy je možn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jednostranně odstoupit v případě porušení závazků uvedených v článcí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 xml:space="preserve">ch </w:t>
      </w:r>
      <w:r>
        <w:rPr>
          <w:rStyle w:val="slostrnky"/>
          <w:rFonts w:ascii="Cambria" w:eastAsia="Cambria" w:hAnsi="Cambria" w:cs="Cambria"/>
          <w:sz w:val="22"/>
          <w:szCs w:val="22"/>
        </w:rPr>
        <w:br/>
        <w:t>II. a III.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s prodlení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m p</w:t>
      </w:r>
      <w:r>
        <w:rPr>
          <w:rStyle w:val="slostrnky"/>
          <w:rFonts w:ascii="Cambria" w:eastAsia="Cambria" w:hAnsi="Cambria" w:cs="Cambria"/>
          <w:sz w:val="22"/>
          <w:szCs w:val="22"/>
        </w:rPr>
        <w:t>řesahujícím deset (10) dnů.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Odstoupení od smlouvy musí být učině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no p</w:t>
      </w:r>
      <w:r>
        <w:rPr>
          <w:rStyle w:val="slostrnky"/>
          <w:rFonts w:ascii="Cambria" w:eastAsia="Cambria" w:hAnsi="Cambria" w:cs="Cambria"/>
          <w:sz w:val="22"/>
          <w:szCs w:val="22"/>
        </w:rPr>
        <w:t>ísemně a je účinn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doručením druh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smluvní straně. </w:t>
      </w:r>
      <w:r>
        <w:rPr>
          <w:rStyle w:val="slostrnky"/>
          <w:rFonts w:ascii="Cambria" w:eastAsia="Cambria" w:hAnsi="Cambria" w:cs="Cambria"/>
          <w:sz w:val="22"/>
          <w:szCs w:val="22"/>
        </w:rPr>
        <w:br/>
        <w:t>Odstoupením od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to smlouvy není 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dot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čeno právo na náhradu škody. 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Smluvní strany prohlašují, že skutečnosti uveden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v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smlouvě a jejich případný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ch n</w:t>
      </w:r>
      <w:r>
        <w:rPr>
          <w:rStyle w:val="slostrnky"/>
          <w:rFonts w:ascii="Cambria" w:eastAsia="Cambria" w:hAnsi="Cambria" w:cs="Cambria"/>
          <w:sz w:val="22"/>
          <w:szCs w:val="22"/>
        </w:rPr>
        <w:t>ásledných dodatcích nepovažují za obchodní tajemství ve smyslu ustanovení § 504 zák. č. 89/2012 Sb., Obč</w:t>
      </w:r>
      <w:r>
        <w:rPr>
          <w:rStyle w:val="slostrnky"/>
          <w:rFonts w:ascii="Cambria" w:eastAsia="Cambria" w:hAnsi="Cambria" w:cs="Cambria"/>
          <w:sz w:val="22"/>
          <w:szCs w:val="22"/>
          <w:lang w:val="da-DK"/>
        </w:rPr>
        <w:t>ansk</w:t>
      </w:r>
      <w:r>
        <w:rPr>
          <w:rStyle w:val="slostrnky"/>
          <w:rFonts w:ascii="Cambria" w:eastAsia="Cambria" w:hAnsi="Cambria" w:cs="Cambria"/>
          <w:sz w:val="22"/>
          <w:szCs w:val="22"/>
        </w:rPr>
        <w:t>ý zákoník, a udělují svolení k jejich zpřístupnění zejm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na ve smyslu zák. č. 106/1999 Sb., </w:t>
      </w:r>
      <w:r>
        <w:rPr>
          <w:rStyle w:val="slostrnky"/>
          <w:rFonts w:ascii="Cambria" w:eastAsia="Cambria" w:hAnsi="Cambria" w:cs="Cambria"/>
          <w:sz w:val="22"/>
          <w:szCs w:val="22"/>
        </w:rPr>
        <w:br/>
        <w:t>o svobodn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m p</w:t>
      </w:r>
      <w:r>
        <w:rPr>
          <w:rStyle w:val="slostrnky"/>
          <w:rFonts w:ascii="Cambria" w:eastAsia="Cambria" w:hAnsi="Cambria" w:cs="Cambria"/>
          <w:sz w:val="22"/>
          <w:szCs w:val="22"/>
        </w:rPr>
        <w:t>řístupu k informacím, v platn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m znění, a k jejich zveřejnění bez jakýchkoliv dalších podmínek v případě, že výše plnění ČC dle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přesá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 xml:space="preserve">hne </w:t>
      </w:r>
      <w:r>
        <w:rPr>
          <w:rStyle w:val="slostrnky"/>
          <w:rFonts w:ascii="Cambria" w:eastAsia="Cambria" w:hAnsi="Cambria" w:cs="Cambria"/>
          <w:sz w:val="22"/>
          <w:szCs w:val="22"/>
        </w:rPr>
        <w:t>částku 50.000 Kč bez DPH.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Smluvní strany se dohodly, že všechny závazn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projevy vůle je třeba činit písemnou formou a doručit je druh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smluvní straně. 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lastRenderedPageBreak/>
        <w:t>Pro úč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>ely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se za písemnou formu nepovažuje výměna e-mailový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 xml:space="preserve">ch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či jiných elektronických zpráv.  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Smluvní strany se dále dohodly na tomto náhradním způsobu doručení všech písemností odesílaných v souvislosti s touto smlouvou anebo na základě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(včetně všech hmotněprávní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 xml:space="preserve">ch </w:t>
      </w:r>
      <w:r>
        <w:rPr>
          <w:rStyle w:val="slostrnky"/>
          <w:rFonts w:ascii="Cambria" w:eastAsia="Cambria" w:hAnsi="Cambria" w:cs="Cambria"/>
          <w:sz w:val="22"/>
          <w:szCs w:val="22"/>
        </w:rPr>
        <w:t>úkonů): Jestliže se prostřednictvím držitele poštovní licence nepodaří doruč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it p</w:t>
      </w:r>
      <w:r>
        <w:rPr>
          <w:rStyle w:val="slostrnky"/>
          <w:rFonts w:ascii="Cambria" w:eastAsia="Cambria" w:hAnsi="Cambria" w:cs="Cambria"/>
          <w:sz w:val="22"/>
          <w:szCs w:val="22"/>
        </w:rPr>
        <w:t>ísemnost, zaslanou doporučeně s tzv. dodejkou druh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smluvní straně na adresu uvedenou v záhlaví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smlouvy, považuje se pro úč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>ely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třetí (3.) den po odeslání za den její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ho doru</w:t>
      </w:r>
      <w:r>
        <w:rPr>
          <w:rStyle w:val="slostrnky"/>
          <w:rFonts w:ascii="Cambria" w:eastAsia="Cambria" w:hAnsi="Cambria" w:cs="Cambria"/>
          <w:sz w:val="22"/>
          <w:szCs w:val="22"/>
        </w:rPr>
        <w:t>čení, i když se adresát o její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m doru</w:t>
      </w:r>
      <w:r>
        <w:rPr>
          <w:rStyle w:val="slostrnky"/>
          <w:rFonts w:ascii="Cambria" w:eastAsia="Cambria" w:hAnsi="Cambria" w:cs="Cambria"/>
          <w:sz w:val="22"/>
          <w:szCs w:val="22"/>
        </w:rPr>
        <w:t>čování nedozvědě</w:t>
      </w:r>
      <w:r>
        <w:rPr>
          <w:rStyle w:val="slostrnky"/>
          <w:rFonts w:ascii="Cambria" w:eastAsia="Cambria" w:hAnsi="Cambria" w:cs="Cambria"/>
          <w:sz w:val="22"/>
          <w:szCs w:val="22"/>
          <w:lang w:val="pt-PT"/>
        </w:rPr>
        <w:t>l.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Neplatnost někter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ho ustanovení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 nemá za následek neplatnost smlouvy cel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  <w:lang w:val="sv-SE"/>
        </w:rPr>
        <w:t>, leda</w:t>
      </w:r>
      <w:r>
        <w:rPr>
          <w:rStyle w:val="slostrnky"/>
          <w:rFonts w:ascii="Cambria" w:eastAsia="Cambria" w:hAnsi="Cambria" w:cs="Cambria"/>
          <w:sz w:val="22"/>
          <w:szCs w:val="22"/>
        </w:rPr>
        <w:t>že takové účinky vyplývají ze závazn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ho právního předpisu. Strany se zavazují případně neplatn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ustanovení nahradit vzájemnou dohodou ustanovením platným, kterým je sledován týž účel, </w:t>
      </w:r>
      <w:r>
        <w:rPr>
          <w:rStyle w:val="slostrnky"/>
          <w:rFonts w:ascii="Cambria" w:eastAsia="Cambria" w:hAnsi="Cambria" w:cs="Cambria"/>
          <w:sz w:val="22"/>
          <w:szCs w:val="22"/>
        </w:rPr>
        <w:br/>
        <w:t>a jsou zachovány srovnateln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>podmínky pro jeho dosažení.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Žádná ze stran 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to smlouvy není </w:t>
      </w:r>
      <w:r>
        <w:rPr>
          <w:rStyle w:val="slostrnky"/>
          <w:rFonts w:ascii="Cambria" w:eastAsia="Cambria" w:hAnsi="Cambria" w:cs="Cambria"/>
          <w:sz w:val="22"/>
          <w:szCs w:val="22"/>
          <w:lang w:val="it-IT"/>
        </w:rPr>
        <w:t>opr</w:t>
      </w:r>
      <w:r>
        <w:rPr>
          <w:rStyle w:val="slostrnky"/>
          <w:rFonts w:ascii="Cambria" w:eastAsia="Cambria" w:hAnsi="Cambria" w:cs="Cambria"/>
          <w:sz w:val="22"/>
          <w:szCs w:val="22"/>
        </w:rPr>
        <w:t>ávněna postoupit třetí straně závazky anebo práva vyplývající z t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Style w:val="slostrnky"/>
          <w:rFonts w:ascii="Cambria" w:eastAsia="Cambria" w:hAnsi="Cambria" w:cs="Cambria"/>
          <w:sz w:val="22"/>
          <w:szCs w:val="22"/>
        </w:rPr>
        <w:t>to smlouvy.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Tuto smlouvu lze měnit a doplňovat pouze písemnou formou po vzájemn</w:t>
      </w:r>
      <w:r>
        <w:rPr>
          <w:rStyle w:val="slostrnky"/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Style w:val="slostrnky"/>
          <w:rFonts w:ascii="Cambria" w:eastAsia="Cambria" w:hAnsi="Cambria" w:cs="Cambria"/>
          <w:sz w:val="22"/>
          <w:szCs w:val="22"/>
        </w:rPr>
        <w:t xml:space="preserve">dohodě obou stran. </w:t>
      </w:r>
    </w:p>
    <w:p w:rsidR="00765DDB" w:rsidRDefault="00EE1EDB">
      <w:pPr>
        <w:pStyle w:val="Bezmezer"/>
        <w:numPr>
          <w:ilvl w:val="0"/>
          <w:numId w:val="6"/>
        </w:numPr>
        <w:jc w:val="both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</w:rPr>
        <w:t>Tato smlouva je vyhotovena ve č</w:t>
      </w:r>
      <w:r>
        <w:rPr>
          <w:rStyle w:val="slostrnky"/>
          <w:rFonts w:ascii="Cambria" w:eastAsia="Cambria" w:hAnsi="Cambria" w:cs="Cambria"/>
          <w:sz w:val="22"/>
          <w:szCs w:val="22"/>
          <w:lang w:val="en-US"/>
        </w:rPr>
        <w:t>ty</w:t>
      </w:r>
      <w:r>
        <w:rPr>
          <w:rStyle w:val="slostrnky"/>
          <w:rFonts w:ascii="Cambria" w:eastAsia="Cambria" w:hAnsi="Cambria" w:cs="Cambria"/>
          <w:sz w:val="22"/>
          <w:szCs w:val="22"/>
        </w:rPr>
        <w:t>řech vý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>tisc</w:t>
      </w:r>
      <w:r>
        <w:rPr>
          <w:rStyle w:val="slostrnky"/>
          <w:rFonts w:ascii="Cambria" w:eastAsia="Cambria" w:hAnsi="Cambria" w:cs="Cambria"/>
          <w:sz w:val="22"/>
          <w:szCs w:val="22"/>
        </w:rPr>
        <w:t>ích, z nichž každá smluvní strana obdrží dva výtisky.</w:t>
      </w:r>
    </w:p>
    <w:p w:rsidR="00765DDB" w:rsidRDefault="00765DDB">
      <w:pPr>
        <w:pStyle w:val="Body"/>
        <w:ind w:left="426"/>
        <w:rPr>
          <w:rFonts w:ascii="Cambria" w:eastAsia="Cambria" w:hAnsi="Cambria" w:cs="Cambria"/>
          <w:sz w:val="22"/>
          <w:szCs w:val="22"/>
        </w:rPr>
      </w:pPr>
    </w:p>
    <w:p w:rsidR="00765DDB" w:rsidRDefault="00765DDB">
      <w:pPr>
        <w:pStyle w:val="Body"/>
        <w:ind w:left="426"/>
        <w:rPr>
          <w:rFonts w:ascii="Cambria" w:eastAsia="Cambria" w:hAnsi="Cambria" w:cs="Cambria"/>
          <w:sz w:val="22"/>
          <w:szCs w:val="22"/>
        </w:rPr>
      </w:pPr>
    </w:p>
    <w:p w:rsidR="00765DDB" w:rsidRDefault="00765DDB">
      <w:pPr>
        <w:pStyle w:val="Body"/>
        <w:ind w:left="426"/>
        <w:rPr>
          <w:rFonts w:ascii="Cambria" w:eastAsia="Cambria" w:hAnsi="Cambria" w:cs="Cambria"/>
          <w:sz w:val="22"/>
          <w:szCs w:val="22"/>
        </w:rPr>
      </w:pPr>
    </w:p>
    <w:p w:rsidR="00765DDB" w:rsidRDefault="00EE1EDB">
      <w:pPr>
        <w:pStyle w:val="Body"/>
        <w:rPr>
          <w:rStyle w:val="slostrnky"/>
          <w:rFonts w:ascii="Cambria" w:eastAsia="Cambria" w:hAnsi="Cambria" w:cs="Cambria"/>
          <w:sz w:val="22"/>
          <w:szCs w:val="22"/>
        </w:rPr>
      </w:pP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 xml:space="preserve">V Praze dne </w:t>
      </w:r>
      <w:r w:rsidR="00BC7BA2"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  <w:r w:rsidR="00BC7BA2"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  <w:r w:rsidR="00BC7BA2"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  <w:r w:rsidR="00BC7BA2"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  <w:r w:rsidR="00BC7BA2"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  <w:r w:rsidR="00BC7BA2"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  <w:r w:rsidR="00BC7BA2"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  <w:r w:rsidR="00BC7BA2"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  <w:t>V Brně dne</w:t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</w:r>
      <w:r>
        <w:rPr>
          <w:rStyle w:val="slostrnky"/>
          <w:rFonts w:ascii="Cambria" w:eastAsia="Cambria" w:hAnsi="Cambria" w:cs="Cambria"/>
          <w:sz w:val="22"/>
          <w:szCs w:val="22"/>
          <w:lang w:val="de-DE"/>
        </w:rPr>
        <w:tab/>
        <w:t xml:space="preserve">                                  </w:t>
      </w:r>
    </w:p>
    <w:p w:rsidR="00765DDB" w:rsidRDefault="00EE1EDB">
      <w:pPr>
        <w:pStyle w:val="Body"/>
        <w:rPr>
          <w:rStyle w:val="slostrnky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slostrnky"/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:rsidR="00765DDB" w:rsidRDefault="00765DDB">
      <w:pPr>
        <w:pStyle w:val="Body"/>
        <w:rPr>
          <w:rFonts w:ascii="Cambria" w:eastAsia="Cambria" w:hAnsi="Cambria" w:cs="Cambria"/>
          <w:b/>
          <w:bCs/>
          <w:sz w:val="22"/>
          <w:szCs w:val="22"/>
        </w:rPr>
      </w:pPr>
    </w:p>
    <w:p w:rsidR="00765DDB" w:rsidRDefault="00765DDB">
      <w:pPr>
        <w:pStyle w:val="Body"/>
        <w:rPr>
          <w:rFonts w:ascii="Cambria" w:eastAsia="Cambria" w:hAnsi="Cambria" w:cs="Cambria"/>
          <w:b/>
          <w:bCs/>
          <w:sz w:val="22"/>
          <w:szCs w:val="22"/>
        </w:rPr>
      </w:pPr>
    </w:p>
    <w:p w:rsidR="00765DDB" w:rsidRDefault="00EE1EDB">
      <w:pPr>
        <w:pStyle w:val="Body"/>
        <w:rPr>
          <w:rStyle w:val="slostrnky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slostrnky"/>
          <w:rFonts w:ascii="Cambria" w:eastAsia="Cambria" w:hAnsi="Cambria" w:cs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-27706</wp:posOffset>
                </wp:positionH>
                <wp:positionV relativeFrom="line">
                  <wp:posOffset>87395</wp:posOffset>
                </wp:positionV>
                <wp:extent cx="1791336" cy="72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336" cy="721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id="_x0000_s1026" style="visibility:visible;position:absolute;margin-left:-2.2pt;margin-top:6.9pt;width:141.1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slostrnky"/>
          <w:rFonts w:ascii="Cambria" w:eastAsia="Cambria" w:hAnsi="Cambria" w:cs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4218538</wp:posOffset>
                </wp:positionH>
                <wp:positionV relativeFrom="line">
                  <wp:posOffset>87395</wp:posOffset>
                </wp:positionV>
                <wp:extent cx="1791336" cy="72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336" cy="721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id="_x0000_s1027" style="visibility:visible;position:absolute;margin-left:332.2pt;margin-top:6.9pt;width:141.1pt;height:0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765DDB" w:rsidRDefault="00EE1EDB">
      <w:pPr>
        <w:pStyle w:val="Zkladntext2"/>
      </w:pP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 xml:space="preserve">                   </w:t>
      </w:r>
      <w:r>
        <w:rPr>
          <w:rStyle w:val="slostrnky"/>
          <w:rFonts w:ascii="Cambria" w:eastAsia="Cambria" w:hAnsi="Cambria" w:cs="Cambria"/>
          <w:caps/>
          <w:sz w:val="22"/>
          <w:szCs w:val="22"/>
        </w:rPr>
        <w:t>ČC</w:t>
      </w: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ab/>
        <w:t xml:space="preserve">       </w:t>
      </w: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ab/>
      </w:r>
      <w:r>
        <w:rPr>
          <w:rStyle w:val="slostrnky"/>
          <w:rFonts w:ascii="Cambria" w:eastAsia="Cambria" w:hAnsi="Cambria" w:cs="Cambria"/>
          <w:i w:val="0"/>
          <w:iCs w:val="0"/>
          <w:sz w:val="22"/>
          <w:szCs w:val="22"/>
        </w:rPr>
        <w:tab/>
        <w:t xml:space="preserve">                        </w:t>
      </w:r>
      <w:r>
        <w:rPr>
          <w:rStyle w:val="slostrnky"/>
          <w:rFonts w:ascii="Cambria" w:eastAsia="Cambria" w:hAnsi="Cambria" w:cs="Cambria"/>
          <w:caps/>
          <w:sz w:val="22"/>
          <w:szCs w:val="22"/>
        </w:rPr>
        <w:t xml:space="preserve">Partner </w:t>
      </w:r>
    </w:p>
    <w:sectPr w:rsidR="00765D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991" w:bottom="1276" w:left="1276" w:header="708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63" w:rsidRDefault="00EE1EDB">
      <w:r>
        <w:separator/>
      </w:r>
    </w:p>
  </w:endnote>
  <w:endnote w:type="continuationSeparator" w:id="0">
    <w:p w:rsidR="00112663" w:rsidRDefault="00EE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DB" w:rsidRDefault="00765DDB">
    <w:pPr>
      <w:pStyle w:val="Zpat"/>
      <w:jc w:val="center"/>
    </w:pPr>
  </w:p>
  <w:p w:rsidR="00765DDB" w:rsidRDefault="00EE1EDB">
    <w:pPr>
      <w:pStyle w:val="Zpat"/>
      <w:jc w:val="center"/>
    </w:pPr>
    <w:r>
      <w:rPr>
        <w:rStyle w:val="slostrnky"/>
        <w:rFonts w:ascii="Calibri" w:eastAsia="Calibri" w:hAnsi="Calibri" w:cs="Calibri"/>
        <w:sz w:val="16"/>
        <w:szCs w:val="16"/>
      </w:rPr>
      <w:t xml:space="preserve">Strana </w:t>
    </w:r>
    <w:r>
      <w:rPr>
        <w:rStyle w:val="slostrnky"/>
        <w:rFonts w:ascii="Calibri" w:eastAsia="Calibri" w:hAnsi="Calibri" w:cs="Calibri"/>
        <w:sz w:val="16"/>
        <w:szCs w:val="16"/>
      </w:rPr>
      <w:fldChar w:fldCharType="begin"/>
    </w:r>
    <w:r>
      <w:rPr>
        <w:rStyle w:val="slostrnky"/>
        <w:rFonts w:ascii="Calibri" w:eastAsia="Calibri" w:hAnsi="Calibri" w:cs="Calibri"/>
        <w:sz w:val="16"/>
        <w:szCs w:val="16"/>
      </w:rPr>
      <w:instrText xml:space="preserve"> PAGE </w:instrText>
    </w:r>
    <w:r>
      <w:rPr>
        <w:rStyle w:val="slostrnky"/>
        <w:rFonts w:ascii="Calibri" w:eastAsia="Calibri" w:hAnsi="Calibri" w:cs="Calibri"/>
        <w:sz w:val="16"/>
        <w:szCs w:val="16"/>
      </w:rPr>
      <w:fldChar w:fldCharType="separate"/>
    </w:r>
    <w:r w:rsidR="00E07BBB">
      <w:rPr>
        <w:rStyle w:val="slostrnky"/>
        <w:rFonts w:ascii="Calibri" w:eastAsia="Calibri" w:hAnsi="Calibri" w:cs="Calibri"/>
        <w:noProof/>
        <w:sz w:val="16"/>
        <w:szCs w:val="16"/>
      </w:rPr>
      <w:t>3</w:t>
    </w:r>
    <w:r>
      <w:rPr>
        <w:rStyle w:val="slostrnky"/>
        <w:rFonts w:ascii="Calibri" w:eastAsia="Calibri" w:hAnsi="Calibri" w:cs="Calibri"/>
        <w:sz w:val="16"/>
        <w:szCs w:val="16"/>
      </w:rPr>
      <w:fldChar w:fldCharType="end"/>
    </w:r>
    <w:r>
      <w:rPr>
        <w:rStyle w:val="slostrnky"/>
        <w:rFonts w:ascii="Calibri" w:eastAsia="Calibri" w:hAnsi="Calibri" w:cs="Calibri"/>
        <w:sz w:val="16"/>
        <w:szCs w:val="16"/>
      </w:rPr>
      <w:t xml:space="preserve"> (celkem 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DB" w:rsidRDefault="00EE1EDB">
    <w:pPr>
      <w:pStyle w:val="Zpat"/>
      <w:jc w:val="center"/>
    </w:pPr>
    <w:r>
      <w:rPr>
        <w:rStyle w:val="slostrnky"/>
        <w:rFonts w:ascii="Calibri" w:eastAsia="Calibri" w:hAnsi="Calibri" w:cs="Calibri"/>
        <w:sz w:val="16"/>
        <w:szCs w:val="16"/>
      </w:rPr>
      <w:t xml:space="preserve">Strana </w:t>
    </w:r>
    <w:r>
      <w:rPr>
        <w:rStyle w:val="slostrnky"/>
        <w:rFonts w:ascii="Calibri" w:eastAsia="Calibri" w:hAnsi="Calibri" w:cs="Calibri"/>
        <w:sz w:val="16"/>
        <w:szCs w:val="16"/>
      </w:rPr>
      <w:fldChar w:fldCharType="begin"/>
    </w:r>
    <w:r>
      <w:rPr>
        <w:rStyle w:val="slostrnky"/>
        <w:rFonts w:ascii="Calibri" w:eastAsia="Calibri" w:hAnsi="Calibri" w:cs="Calibri"/>
        <w:sz w:val="16"/>
        <w:szCs w:val="16"/>
      </w:rPr>
      <w:instrText xml:space="preserve"> PAGE </w:instrText>
    </w:r>
    <w:r>
      <w:rPr>
        <w:rStyle w:val="slostrnky"/>
        <w:rFonts w:ascii="Calibri" w:eastAsia="Calibri" w:hAnsi="Calibri" w:cs="Calibri"/>
        <w:sz w:val="16"/>
        <w:szCs w:val="16"/>
      </w:rPr>
      <w:fldChar w:fldCharType="separate"/>
    </w:r>
    <w:r w:rsidR="00E07BBB">
      <w:rPr>
        <w:rStyle w:val="slostrnky"/>
        <w:rFonts w:ascii="Calibri" w:eastAsia="Calibri" w:hAnsi="Calibri" w:cs="Calibri"/>
        <w:noProof/>
        <w:sz w:val="16"/>
        <w:szCs w:val="16"/>
      </w:rPr>
      <w:t>1</w:t>
    </w:r>
    <w:r>
      <w:rPr>
        <w:rStyle w:val="slostrnky"/>
        <w:rFonts w:ascii="Calibri" w:eastAsia="Calibri" w:hAnsi="Calibri" w:cs="Calibri"/>
        <w:sz w:val="16"/>
        <w:szCs w:val="16"/>
      </w:rPr>
      <w:fldChar w:fldCharType="end"/>
    </w:r>
    <w:r>
      <w:rPr>
        <w:rStyle w:val="slostrnky"/>
        <w:rFonts w:ascii="Calibri" w:eastAsia="Calibri" w:hAnsi="Calibri" w:cs="Calibri"/>
        <w:sz w:val="16"/>
        <w:szCs w:val="16"/>
      </w:rPr>
      <w:t xml:space="preserve"> (celkem 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63" w:rsidRDefault="00EE1EDB">
      <w:r>
        <w:separator/>
      </w:r>
    </w:p>
  </w:footnote>
  <w:footnote w:type="continuationSeparator" w:id="0">
    <w:p w:rsidR="00112663" w:rsidRDefault="00EE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DB" w:rsidRDefault="00EE1EDB">
    <w:pPr>
      <w:pStyle w:val="Zhlav"/>
      <w:jc w:val="right"/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538479</wp:posOffset>
          </wp:positionH>
          <wp:positionV relativeFrom="page">
            <wp:posOffset>70485</wp:posOffset>
          </wp:positionV>
          <wp:extent cx="2514600" cy="8934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93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65DDB" w:rsidRDefault="00765DDB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DB" w:rsidRDefault="00EE1EDB">
    <w:pPr>
      <w:pStyle w:val="Zhlav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5419724</wp:posOffset>
              </wp:positionH>
              <wp:positionV relativeFrom="page">
                <wp:posOffset>400050</wp:posOffset>
              </wp:positionV>
              <wp:extent cx="1581785" cy="27623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785" cy="276236"/>
                        <a:chOff x="0" y="0"/>
                        <a:chExt cx="1581784" cy="27623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581785" cy="276236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>
                          <a:outerShdw dist="28398" dir="3806097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1581785" cy="276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dist="28398" dir="3806097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DDB" w:rsidRDefault="00EE1EDB">
                            <w:pPr>
                              <w:pStyle w:val="Obsahrmce"/>
                            </w:pPr>
                            <w:r>
                              <w:rPr>
                                <w:rStyle w:val="slostrnky"/>
                                <w:rFonts w:ascii="Cambria" w:eastAsia="Cambria" w:hAnsi="Cambria" w:cs="Cambria"/>
                              </w:rPr>
                              <w:t>2018/1938/7029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_x0000_s1028" style="visibility:visible;position:absolute;margin-left:426.8pt;margin-top:31.5pt;width:124.5pt;height:21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81785,276236">
              <w10:wrap type="none" side="bothSides" anchorx="page" anchory="page"/>
              <v:rect id="_x0000_s1029" style="position:absolute;left:0;top:0;width:1581785;height:276236;">
                <v:fill on="f"/>
                <v:stroke filltype="solid" color="#666666" opacity="100.0%" weight="1.0pt" dashstyle="solid" endcap="flat" miterlimit="800.0%" joinstyle="miter" linestyle="single" startarrow="none" startarrowwidth="medium" startarrowlength="medium" endarrow="none" endarrowwidth="medium" endarrowlength="medium"/>
                <v:shadow on="t" color="#7F7F7F" opacity="0.5" offset="1.0pt,2.0pt"/>
              </v:rect>
              <v:rect id="_x0000_s1030" style="position:absolute;left:0;top:0;width:1581785;height:276236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7F7F7F" opacity="0.5" offset="1.0pt,2.0pt"/>
                <v:textbox>
                  <w:txbxContent>
                    <w:p>
                      <w:pPr>
                        <w:pStyle w:val="Obsah rámce"/>
                      </w:pPr>
                      <w:r>
                        <w:rPr>
                          <w:rStyle w:val="page number"/>
                          <w:rFonts w:ascii="Cambria" w:cs="Cambria" w:hAnsi="Cambria" w:eastAsia="Cambria"/>
                          <w:color w:val="000000"/>
                          <w:u w:color="000000"/>
                          <w:rtl w:val="0"/>
                        </w:rPr>
                        <w:t>2018/1938/7029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650240</wp:posOffset>
          </wp:positionH>
          <wp:positionV relativeFrom="page">
            <wp:posOffset>121285</wp:posOffset>
          </wp:positionV>
          <wp:extent cx="2369820" cy="84264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42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E59"/>
    <w:multiLevelType w:val="hybridMultilevel"/>
    <w:tmpl w:val="1DF6AE6C"/>
    <w:numStyleLink w:val="ImportedStyle3"/>
  </w:abstractNum>
  <w:abstractNum w:abstractNumId="1">
    <w:nsid w:val="32FE685E"/>
    <w:multiLevelType w:val="hybridMultilevel"/>
    <w:tmpl w:val="76FAD036"/>
    <w:styleLink w:val="ImportedStyle1"/>
    <w:lvl w:ilvl="0" w:tplc="2D66E8DE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108D46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54EC3C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EAE4D0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FE9902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26DA58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04E34E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FEFB22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5CF4D0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A93E6A"/>
    <w:multiLevelType w:val="hybridMultilevel"/>
    <w:tmpl w:val="53D8F458"/>
    <w:styleLink w:val="ImportedStyle2"/>
    <w:lvl w:ilvl="0" w:tplc="83B65B98">
      <w:start w:val="1"/>
      <w:numFmt w:val="decimal"/>
      <w:lvlText w:val="%1."/>
      <w:lvlJc w:val="left"/>
      <w:pPr>
        <w:ind w:left="459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484748">
      <w:start w:val="1"/>
      <w:numFmt w:val="lowerLetter"/>
      <w:lvlText w:val="%2."/>
      <w:lvlJc w:val="left"/>
      <w:pPr>
        <w:ind w:left="1179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326F50">
      <w:start w:val="1"/>
      <w:numFmt w:val="lowerRoman"/>
      <w:lvlText w:val="%3."/>
      <w:lvlJc w:val="left"/>
      <w:pPr>
        <w:ind w:left="1891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EA32A">
      <w:start w:val="1"/>
      <w:numFmt w:val="decimal"/>
      <w:lvlText w:val="%4."/>
      <w:lvlJc w:val="left"/>
      <w:pPr>
        <w:ind w:left="2619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6E32BC">
      <w:start w:val="1"/>
      <w:numFmt w:val="lowerLetter"/>
      <w:lvlText w:val="%5."/>
      <w:lvlJc w:val="left"/>
      <w:pPr>
        <w:ind w:left="3339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7E377E">
      <w:start w:val="1"/>
      <w:numFmt w:val="lowerRoman"/>
      <w:lvlText w:val="%6."/>
      <w:lvlJc w:val="left"/>
      <w:pPr>
        <w:ind w:left="4051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58127C">
      <w:start w:val="1"/>
      <w:numFmt w:val="decimal"/>
      <w:lvlText w:val="%7."/>
      <w:lvlJc w:val="left"/>
      <w:pPr>
        <w:ind w:left="4779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FE1FA0">
      <w:start w:val="1"/>
      <w:numFmt w:val="lowerLetter"/>
      <w:lvlText w:val="%8."/>
      <w:lvlJc w:val="left"/>
      <w:pPr>
        <w:ind w:left="5499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A0D2F4">
      <w:start w:val="1"/>
      <w:numFmt w:val="lowerRoman"/>
      <w:lvlText w:val="%9."/>
      <w:lvlJc w:val="left"/>
      <w:pPr>
        <w:ind w:left="6211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1F7AD6"/>
    <w:multiLevelType w:val="hybridMultilevel"/>
    <w:tmpl w:val="53D8F458"/>
    <w:numStyleLink w:val="ImportedStyle2"/>
  </w:abstractNum>
  <w:abstractNum w:abstractNumId="4">
    <w:nsid w:val="4D5619BD"/>
    <w:multiLevelType w:val="hybridMultilevel"/>
    <w:tmpl w:val="1DF6AE6C"/>
    <w:styleLink w:val="ImportedStyle3"/>
    <w:lvl w:ilvl="0" w:tplc="0D14123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7894DA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E85478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E22BE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5CFE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05CA6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A0398C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A1936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3A8226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2B576D9"/>
    <w:multiLevelType w:val="hybridMultilevel"/>
    <w:tmpl w:val="76FAD036"/>
    <w:numStyleLink w:val="ImportedStyle1"/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B"/>
    <w:rsid w:val="00112663"/>
    <w:rsid w:val="003D0BF0"/>
    <w:rsid w:val="00765DDB"/>
    <w:rsid w:val="00BC7BA2"/>
    <w:rsid w:val="00E07BBB"/>
    <w:rsid w:val="00E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lostrnky">
    <w:name w:val="page number"/>
  </w:style>
  <w:style w:type="paragraph" w:customStyle="1" w:styleId="Obsahrmce">
    <w:name w:val="Obsah rámce"/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Zkladntext2">
    <w:name w:val="Body Text 2"/>
    <w:pPr>
      <w:widowControl w:val="0"/>
    </w:pPr>
    <w:rPr>
      <w:rFonts w:ascii="Arial" w:hAnsi="Arial" w:cs="Arial Unicode MS"/>
      <w:i/>
      <w:iCs/>
      <w:color w:val="000000"/>
      <w:sz w:val="24"/>
      <w:szCs w:val="24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lostrnky">
    <w:name w:val="page number"/>
  </w:style>
  <w:style w:type="paragraph" w:customStyle="1" w:styleId="Obsahrmce">
    <w:name w:val="Obsah rámce"/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Zkladntext2">
    <w:name w:val="Body Text 2"/>
    <w:pPr>
      <w:widowControl w:val="0"/>
    </w:pPr>
    <w:rPr>
      <w:rFonts w:ascii="Arial" w:hAnsi="Arial" w:cs="Arial Unicode MS"/>
      <w:i/>
      <w:iCs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dcterms:created xsi:type="dcterms:W3CDTF">2018-07-27T06:09:00Z</dcterms:created>
  <dcterms:modified xsi:type="dcterms:W3CDTF">2018-07-27T06:09:00Z</dcterms:modified>
</cp:coreProperties>
</file>