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E3" w:rsidRDefault="00590282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>
        <w:rPr>
          <w:noProof/>
        </w:rPr>
        <w:drawing>
          <wp:inline distT="0" distB="0" distL="0" distR="0">
            <wp:extent cx="1311910" cy="1693545"/>
            <wp:effectExtent l="0" t="0" r="2540" b="1905"/>
            <wp:docPr id="1" name="znak" descr="Logo Ústec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Logo Ústeckého kr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E3" w:rsidRDefault="005D05E3">
      <w:pPr>
        <w:pStyle w:val="Nadpis1prvn"/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</w:pPr>
    </w:p>
    <w:p w:rsidR="005D05E3" w:rsidRDefault="00590282">
      <w:pPr>
        <w:pStyle w:val="Nadpis1prvn"/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  <w:t>DODATEK č. 1</w:t>
      </w:r>
    </w:p>
    <w:p w:rsidR="005D05E3" w:rsidRDefault="00590282">
      <w:pPr>
        <w:pStyle w:val="Nadpis1prvn"/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  <w:t>KE KUPNÍ SMLOUVĚ</w:t>
      </w:r>
    </w:p>
    <w:p w:rsidR="005D05E3" w:rsidRDefault="00590282">
      <w:pPr>
        <w:pStyle w:val="Nadpis1prvn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NA N</w:t>
      </w:r>
      <w:r>
        <w:rPr>
          <w:rFonts w:ascii="Times New Roman" w:hAnsi="Times New Roman" w:cs="Times New Roman"/>
          <w:b w:val="0"/>
        </w:rPr>
        <w:t xml:space="preserve">ÁKUP ZÁKLADNÍHO LŮŽKOVÉHO VYBAVENÍ </w:t>
      </w:r>
    </w:p>
    <w:p w:rsidR="005D05E3" w:rsidRDefault="00590282">
      <w:pPr>
        <w:pStyle w:val="Nadpis1prvn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pro poskytování zdravotních služeb na lůžkách následné lůžkové péče </w:t>
      </w:r>
    </w:p>
    <w:p w:rsidR="005D05E3" w:rsidRDefault="00590282">
      <w:pPr>
        <w:pStyle w:val="Nadpis1prvn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v Krušnohorské poliklinice s.r.o.</w:t>
      </w:r>
    </w:p>
    <w:p w:rsidR="005D05E3" w:rsidRDefault="005D05E3">
      <w:pPr>
        <w:pStyle w:val="Nadpis1prvn"/>
        <w:rPr>
          <w:rFonts w:ascii="Times New Roman" w:hAnsi="Times New Roman" w:cs="Times New Roman"/>
          <w:b w:val="0"/>
          <w:bCs w:val="0"/>
        </w:rPr>
      </w:pPr>
    </w:p>
    <w:p w:rsidR="005D05E3" w:rsidRDefault="005D05E3">
      <w:pPr>
        <w:pStyle w:val="Nadpis1prvn"/>
        <w:rPr>
          <w:rFonts w:ascii="Times New Roman" w:hAnsi="Times New Roman" w:cs="Times New Roman"/>
          <w:bCs w:val="0"/>
          <w:i w:val="0"/>
          <w:spacing w:val="30"/>
          <w:sz w:val="28"/>
          <w:szCs w:val="28"/>
        </w:rPr>
      </w:pPr>
    </w:p>
    <w:p w:rsidR="005D05E3" w:rsidRDefault="00590282">
      <w:pPr>
        <w:pStyle w:val="Nadpis1prvn"/>
        <w:rPr>
          <w:rFonts w:ascii="Times New Roman" w:hAnsi="Times New Roman" w:cs="Times New Roman"/>
          <w:i w:val="0"/>
          <w:spacing w:val="30"/>
        </w:rPr>
      </w:pPr>
      <w:r>
        <w:rPr>
          <w:rFonts w:ascii="Times New Roman" w:hAnsi="Times New Roman" w:cs="Times New Roman"/>
          <w:i w:val="0"/>
          <w:spacing w:val="30"/>
        </w:rPr>
        <w:t>1. SMLUVNÍ STRANY</w:t>
      </w:r>
    </w:p>
    <w:p w:rsidR="005D05E3" w:rsidRDefault="00590282">
      <w:pPr>
        <w:pStyle w:val="Nadpis1"/>
        <w:spacing w:line="240" w:lineRule="exact"/>
        <w:jc w:val="left"/>
        <w:rPr>
          <w:bCs/>
          <w:i/>
          <w:spacing w:val="40"/>
        </w:rPr>
      </w:pPr>
      <w:r>
        <w:rPr>
          <w:spacing w:val="40"/>
        </w:rPr>
        <w:t>1.1 KUPUJÍCÍ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D05E3">
        <w:trPr>
          <w:cantSplit/>
          <w:trHeight w:hRule="exact" w:val="480"/>
        </w:trPr>
        <w:tc>
          <w:tcPr>
            <w:tcW w:w="4253" w:type="dxa"/>
          </w:tcPr>
          <w:p w:rsidR="005D05E3" w:rsidRDefault="00590282">
            <w:pPr>
              <w:pStyle w:val="Tabulka1"/>
              <w:spacing w:before="240" w:line="240" w:lineRule="exac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Obchodní firma:</w:t>
            </w:r>
          </w:p>
        </w:tc>
        <w:tc>
          <w:tcPr>
            <w:tcW w:w="4253" w:type="dxa"/>
          </w:tcPr>
          <w:p w:rsidR="005D05E3" w:rsidRDefault="005D05E3"/>
          <w:p w:rsidR="005D05E3" w:rsidRDefault="00590282">
            <w:r>
              <w:t>Krušnohorská poliklinika s.r.o.</w:t>
            </w:r>
          </w:p>
          <w:p w:rsidR="005D05E3" w:rsidRDefault="005D05E3"/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Litvínov, Žižkova ul.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151, PSČ 436 01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25030302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 25030302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 a.s., pobočka Litvínov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19-9944680227/0100</w:t>
            </w:r>
          </w:p>
        </w:tc>
      </w:tr>
    </w:tbl>
    <w:p w:rsidR="00427D7F" w:rsidRDefault="00427D7F">
      <w:r>
        <w:rPr>
          <w:b/>
          <w:bCs/>
        </w:rPr>
        <w:t xml:space="preserve"> </w:t>
      </w:r>
      <w:r w:rsidR="00590282">
        <w:rPr>
          <w:b/>
          <w:bCs/>
        </w:rPr>
        <w:t>Krušnohorská poliklinika s.r.o.</w:t>
      </w:r>
      <w:r w:rsidR="00590282">
        <w:t xml:space="preserve"> je zapsána v obchodním rejstříku, vedeném </w:t>
      </w:r>
      <w:proofErr w:type="gramStart"/>
      <w:r w:rsidR="00590282">
        <w:t xml:space="preserve">Krajským </w:t>
      </w:r>
      <w:r>
        <w:t xml:space="preserve">  ,</w:t>
      </w:r>
      <w:proofErr w:type="gramEnd"/>
    </w:p>
    <w:p w:rsidR="005D05E3" w:rsidRDefault="00427D7F">
      <w:r>
        <w:t xml:space="preserve"> </w:t>
      </w:r>
      <w:r w:rsidR="00590282">
        <w:t>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D05E3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5D05E3" w:rsidRDefault="00590282">
            <w:pPr>
              <w:pStyle w:val="Tabulka1"/>
              <w:spacing w:before="240" w:line="240" w:lineRule="exac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Osoba oprávněná k podpisu smlouvy: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Hana Sošková, jednatelka</w:t>
            </w:r>
          </w:p>
        </w:tc>
      </w:tr>
      <w:tr w:rsidR="005D05E3">
        <w:trPr>
          <w:cantSplit/>
          <w:trHeight w:hRule="exact" w:val="260"/>
        </w:trPr>
        <w:tc>
          <w:tcPr>
            <w:tcW w:w="4253" w:type="dxa"/>
            <w:vMerge/>
          </w:tcPr>
          <w:p w:rsidR="005D05E3" w:rsidRDefault="005D05E3">
            <w:pPr>
              <w:pStyle w:val="Tabulka1"/>
              <w:spacing w:before="240" w:line="240" w:lineRule="exac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05E3" w:rsidRDefault="005D05E3"/>
        </w:tc>
      </w:tr>
      <w:tr w:rsidR="005D05E3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5D05E3" w:rsidRDefault="00590282">
            <w:r>
              <w:t>Zástupce jednání ve věcech technických:</w:t>
            </w:r>
          </w:p>
        </w:tc>
        <w:tc>
          <w:tcPr>
            <w:tcW w:w="4253" w:type="dxa"/>
          </w:tcPr>
          <w:p w:rsidR="005D05E3" w:rsidRDefault="00590282">
            <w:proofErr w:type="spellStart"/>
            <w:r>
              <w:t>Marketa</w:t>
            </w:r>
            <w:proofErr w:type="spellEnd"/>
            <w:r>
              <w:t xml:space="preserve"> </w:t>
            </w:r>
            <w:proofErr w:type="spellStart"/>
            <w:r>
              <w:t>Kolodziejová,vedoucí</w:t>
            </w:r>
            <w:proofErr w:type="spellEnd"/>
            <w:r>
              <w:t xml:space="preserve"> TÚ</w:t>
            </w:r>
          </w:p>
        </w:tc>
      </w:tr>
      <w:tr w:rsidR="005D05E3">
        <w:trPr>
          <w:cantSplit/>
          <w:trHeight w:hRule="exact" w:val="260"/>
        </w:trPr>
        <w:tc>
          <w:tcPr>
            <w:tcW w:w="4253" w:type="dxa"/>
            <w:vMerge/>
          </w:tcPr>
          <w:p w:rsidR="005D05E3" w:rsidRDefault="005D05E3"/>
        </w:tc>
        <w:tc>
          <w:tcPr>
            <w:tcW w:w="4253" w:type="dxa"/>
          </w:tcPr>
          <w:p w:rsidR="005D05E3" w:rsidRDefault="005D05E3"/>
          <w:p w:rsidR="005D05E3" w:rsidRDefault="005D05E3"/>
          <w:p w:rsidR="005D05E3" w:rsidRDefault="005D05E3"/>
        </w:tc>
      </w:tr>
      <w:tr w:rsidR="005D05E3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5D05E3" w:rsidRDefault="00590282">
            <w:r>
              <w:t>Zástupce jednání ve věcech obchodních:</w:t>
            </w:r>
          </w:p>
        </w:tc>
        <w:tc>
          <w:tcPr>
            <w:tcW w:w="4253" w:type="dxa"/>
          </w:tcPr>
          <w:p w:rsidR="005D05E3" w:rsidRDefault="00590282">
            <w:r>
              <w:t>Ing. Hana Sošková, jednatelka</w:t>
            </w:r>
          </w:p>
        </w:tc>
      </w:tr>
      <w:tr w:rsidR="005D05E3">
        <w:trPr>
          <w:cantSplit/>
          <w:trHeight w:hRule="exact" w:val="260"/>
        </w:trPr>
        <w:tc>
          <w:tcPr>
            <w:tcW w:w="4253" w:type="dxa"/>
            <w:vMerge/>
          </w:tcPr>
          <w:p w:rsidR="005D05E3" w:rsidRDefault="005D05E3"/>
        </w:tc>
        <w:tc>
          <w:tcPr>
            <w:tcW w:w="4253" w:type="dxa"/>
          </w:tcPr>
          <w:p w:rsidR="005D05E3" w:rsidRDefault="00590282">
            <w:proofErr w:type="spellStart"/>
            <w:r>
              <w:t>Marketa</w:t>
            </w:r>
            <w:proofErr w:type="spellEnd"/>
            <w:r>
              <w:t xml:space="preserve"> </w:t>
            </w:r>
            <w:proofErr w:type="spellStart"/>
            <w:r>
              <w:t>Kolodziejová</w:t>
            </w:r>
            <w:proofErr w:type="spellEnd"/>
            <w:r>
              <w:t>, vedoucí TÚ</w:t>
            </w:r>
          </w:p>
        </w:tc>
      </w:tr>
    </w:tbl>
    <w:p w:rsidR="005D05E3" w:rsidRDefault="005D05E3">
      <w:pPr>
        <w:rPr>
          <w:b/>
          <w:bCs/>
        </w:rPr>
      </w:pPr>
    </w:p>
    <w:p w:rsidR="005D05E3" w:rsidRDefault="00590282">
      <w:pPr>
        <w:jc w:val="both"/>
      </w:pPr>
      <w:r>
        <w:rPr>
          <w:b/>
          <w:bCs/>
        </w:rPr>
        <w:t xml:space="preserve">Krušnohorská poliklinika s.r.o. </w:t>
      </w:r>
      <w:r>
        <w:t>bude v dalším znění tohoto Dodatku č. 1 uváděna jako „</w:t>
      </w:r>
      <w:r>
        <w:rPr>
          <w:b/>
        </w:rPr>
        <w:t>kupující</w:t>
      </w:r>
      <w:r>
        <w:t>“.</w:t>
      </w:r>
    </w:p>
    <w:p w:rsidR="005D05E3" w:rsidRDefault="005D05E3"/>
    <w:p w:rsidR="005D05E3" w:rsidRDefault="005D05E3"/>
    <w:p w:rsidR="005D05E3" w:rsidRDefault="005D05E3"/>
    <w:p w:rsidR="005D05E3" w:rsidRDefault="005D05E3"/>
    <w:p w:rsidR="005D05E3" w:rsidRDefault="005D05E3"/>
    <w:p w:rsidR="005D05E3" w:rsidRDefault="00427D7F">
      <w:pPr>
        <w:pStyle w:val="Nadpis1"/>
        <w:spacing w:line="240" w:lineRule="exact"/>
        <w:jc w:val="left"/>
        <w:rPr>
          <w:bCs/>
          <w:i/>
          <w:spacing w:val="40"/>
        </w:rPr>
      </w:pPr>
      <w:r>
        <w:rPr>
          <w:spacing w:val="40"/>
        </w:rPr>
        <w:lastRenderedPageBreak/>
        <w:t xml:space="preserve"> </w:t>
      </w:r>
      <w:r w:rsidR="00590282">
        <w:rPr>
          <w:spacing w:val="40"/>
        </w:rPr>
        <w:t>1.2 PRODÁVAJÍCÍ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D05E3">
        <w:trPr>
          <w:cantSplit/>
          <w:trHeight w:hRule="exact" w:val="460"/>
        </w:trPr>
        <w:tc>
          <w:tcPr>
            <w:tcW w:w="4253" w:type="dxa"/>
          </w:tcPr>
          <w:p w:rsidR="005D05E3" w:rsidRDefault="00590282">
            <w:r>
              <w:t>Obchodní firma/název/jméno:</w:t>
            </w:r>
          </w:p>
        </w:tc>
        <w:tc>
          <w:tcPr>
            <w:tcW w:w="4253" w:type="dxa"/>
          </w:tcPr>
          <w:p w:rsidR="005D05E3" w:rsidRDefault="00590282">
            <w:r>
              <w:t>LB BOHEMIA, s.r.o.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Sovadinova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3431,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690 02  Břeclav</w:t>
            </w:r>
            <w:proofErr w:type="gramEnd"/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26224461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CZ26224461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253" w:type="dxa"/>
          </w:tcPr>
          <w:p w:rsidR="005D05E3" w:rsidRDefault="00DA0FEE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  <w:proofErr w:type="spellEnd"/>
            <w:r w:rsidR="0059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5E3">
        <w:trPr>
          <w:cantSplit/>
          <w:trHeight w:hRule="exact" w:val="240"/>
        </w:trPr>
        <w:tc>
          <w:tcPr>
            <w:tcW w:w="4253" w:type="dxa"/>
          </w:tcPr>
          <w:p w:rsidR="005D05E3" w:rsidRDefault="00590282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253" w:type="dxa"/>
          </w:tcPr>
          <w:p w:rsidR="005D05E3" w:rsidRDefault="00DA0FEE">
            <w:pPr>
              <w:pStyle w:val="Normlnbez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  <w:proofErr w:type="spellEnd"/>
          </w:p>
        </w:tc>
      </w:tr>
    </w:tbl>
    <w:p w:rsidR="00427D7F" w:rsidRDefault="00427D7F">
      <w:r>
        <w:rPr>
          <w:b/>
        </w:rPr>
        <w:t xml:space="preserve"> </w:t>
      </w:r>
      <w:r w:rsidR="00590282">
        <w:rPr>
          <w:b/>
        </w:rPr>
        <w:t>LB BOHEMIA, s.r.o.</w:t>
      </w:r>
      <w:r w:rsidR="00590282">
        <w:t xml:space="preserve"> je zapsána v obchodním rejstříku, vedeném Krajským soudem v Brně, </w:t>
      </w:r>
      <w:r>
        <w:t xml:space="preserve">  </w:t>
      </w:r>
    </w:p>
    <w:p w:rsidR="005D05E3" w:rsidRDefault="00427D7F">
      <w:r>
        <w:t xml:space="preserve"> </w:t>
      </w:r>
      <w:r w:rsidR="00590282">
        <w:t>oddíl C, vložka 38076.</w:t>
      </w:r>
    </w:p>
    <w:p w:rsidR="005D05E3" w:rsidRDefault="005D05E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5D05E3">
        <w:trPr>
          <w:cantSplit/>
          <w:trHeight w:val="460"/>
        </w:trPr>
        <w:tc>
          <w:tcPr>
            <w:tcW w:w="4253" w:type="dxa"/>
            <w:vMerge w:val="restart"/>
          </w:tcPr>
          <w:p w:rsidR="005D05E3" w:rsidRDefault="00590282">
            <w:r>
              <w:t xml:space="preserve">Osoba oprávněná k podpisu smlouvy: </w:t>
            </w:r>
          </w:p>
        </w:tc>
        <w:tc>
          <w:tcPr>
            <w:tcW w:w="4253" w:type="dxa"/>
          </w:tcPr>
          <w:p w:rsidR="005D05E3" w:rsidRDefault="00590282">
            <w:r>
              <w:t xml:space="preserve">David </w:t>
            </w:r>
            <w:proofErr w:type="spellStart"/>
            <w:r>
              <w:t>Bednár</w:t>
            </w:r>
            <w:proofErr w:type="spellEnd"/>
          </w:p>
        </w:tc>
      </w:tr>
      <w:tr w:rsidR="005D05E3">
        <w:trPr>
          <w:cantSplit/>
          <w:trHeight w:val="260"/>
        </w:trPr>
        <w:tc>
          <w:tcPr>
            <w:tcW w:w="4253" w:type="dxa"/>
            <w:vMerge/>
          </w:tcPr>
          <w:p w:rsidR="005D05E3" w:rsidRDefault="005D05E3"/>
        </w:tc>
        <w:tc>
          <w:tcPr>
            <w:tcW w:w="4253" w:type="dxa"/>
          </w:tcPr>
          <w:p w:rsidR="005D05E3" w:rsidRDefault="005D05E3"/>
        </w:tc>
      </w:tr>
      <w:tr w:rsidR="005D05E3">
        <w:trPr>
          <w:cantSplit/>
          <w:trHeight w:val="460"/>
        </w:trPr>
        <w:tc>
          <w:tcPr>
            <w:tcW w:w="4253" w:type="dxa"/>
            <w:vMerge w:val="restart"/>
          </w:tcPr>
          <w:p w:rsidR="005D05E3" w:rsidRDefault="00590282">
            <w:r>
              <w:t xml:space="preserve">Zástupce jednání ve věcech technických: </w:t>
            </w:r>
          </w:p>
        </w:tc>
        <w:tc>
          <w:tcPr>
            <w:tcW w:w="4253" w:type="dxa"/>
          </w:tcPr>
          <w:p w:rsidR="005D05E3" w:rsidRDefault="00590282">
            <w:r>
              <w:t xml:space="preserve">David </w:t>
            </w:r>
            <w:proofErr w:type="spellStart"/>
            <w:r>
              <w:t>Bednár</w:t>
            </w:r>
            <w:proofErr w:type="spellEnd"/>
          </w:p>
        </w:tc>
      </w:tr>
      <w:tr w:rsidR="005D05E3">
        <w:trPr>
          <w:cantSplit/>
          <w:trHeight w:hRule="exact" w:val="260"/>
        </w:trPr>
        <w:tc>
          <w:tcPr>
            <w:tcW w:w="4253" w:type="dxa"/>
            <w:vMerge/>
          </w:tcPr>
          <w:p w:rsidR="005D05E3" w:rsidRDefault="005D05E3"/>
        </w:tc>
        <w:tc>
          <w:tcPr>
            <w:tcW w:w="4253" w:type="dxa"/>
          </w:tcPr>
          <w:p w:rsidR="005D05E3" w:rsidRDefault="005D05E3"/>
        </w:tc>
      </w:tr>
      <w:tr w:rsidR="005D05E3">
        <w:trPr>
          <w:cantSplit/>
          <w:trHeight w:hRule="exact" w:val="460"/>
        </w:trPr>
        <w:tc>
          <w:tcPr>
            <w:tcW w:w="4253" w:type="dxa"/>
            <w:vMerge w:val="restart"/>
          </w:tcPr>
          <w:p w:rsidR="005D05E3" w:rsidRDefault="00590282">
            <w:r>
              <w:t>Zástupce jednání ve věcech obchodních:</w:t>
            </w:r>
          </w:p>
        </w:tc>
        <w:tc>
          <w:tcPr>
            <w:tcW w:w="4253" w:type="dxa"/>
          </w:tcPr>
          <w:p w:rsidR="005D05E3" w:rsidRDefault="00590282">
            <w:r>
              <w:t xml:space="preserve">David </w:t>
            </w:r>
            <w:proofErr w:type="spellStart"/>
            <w:r>
              <w:t>Bednár</w:t>
            </w:r>
            <w:proofErr w:type="spellEnd"/>
          </w:p>
        </w:tc>
      </w:tr>
      <w:tr w:rsidR="005D05E3">
        <w:trPr>
          <w:cantSplit/>
          <w:trHeight w:val="260"/>
        </w:trPr>
        <w:tc>
          <w:tcPr>
            <w:tcW w:w="4253" w:type="dxa"/>
            <w:vMerge/>
          </w:tcPr>
          <w:p w:rsidR="005D05E3" w:rsidRDefault="005D05E3"/>
        </w:tc>
        <w:tc>
          <w:tcPr>
            <w:tcW w:w="4253" w:type="dxa"/>
          </w:tcPr>
          <w:p w:rsidR="005D05E3" w:rsidRDefault="005D05E3"/>
        </w:tc>
      </w:tr>
    </w:tbl>
    <w:p w:rsidR="005D05E3" w:rsidRDefault="00590282">
      <w:r>
        <w:rPr>
          <w:b/>
        </w:rPr>
        <w:t>LB BOHEMIA, s.r.o</w:t>
      </w:r>
      <w:r>
        <w:t>. bude v dalším znění tohoto Dodatku č. 1</w:t>
      </w:r>
      <w:r w:rsidR="00E40DAD">
        <w:t xml:space="preserve"> </w:t>
      </w:r>
      <w:r>
        <w:t>uváděna jako „</w:t>
      </w:r>
      <w:r>
        <w:rPr>
          <w:b/>
        </w:rPr>
        <w:t>prodávající</w:t>
      </w:r>
      <w:r>
        <w:t>“.</w:t>
      </w:r>
    </w:p>
    <w:p w:rsidR="005D05E3" w:rsidRDefault="005D05E3">
      <w:pPr>
        <w:pStyle w:val="Zkladntext"/>
        <w:jc w:val="both"/>
        <w:rPr>
          <w:szCs w:val="24"/>
        </w:rPr>
      </w:pPr>
    </w:p>
    <w:p w:rsidR="005D05E3" w:rsidRDefault="00590282">
      <w:pPr>
        <w:tabs>
          <w:tab w:val="left" w:pos="2835"/>
        </w:tabs>
        <w:autoSpaceDE w:val="0"/>
        <w:autoSpaceDN w:val="0"/>
        <w:adjustRightInd w:val="0"/>
        <w:spacing w:before="120"/>
        <w:jc w:val="center"/>
        <w:rPr>
          <w:iCs/>
        </w:rPr>
      </w:pPr>
      <w:r>
        <w:rPr>
          <w:iCs/>
        </w:rPr>
        <w:t>dohodly se dnes takto:</w:t>
      </w:r>
    </w:p>
    <w:p w:rsidR="005D05E3" w:rsidRDefault="005D05E3">
      <w:pPr>
        <w:autoSpaceDE w:val="0"/>
        <w:autoSpaceDN w:val="0"/>
        <w:adjustRightInd w:val="0"/>
        <w:spacing w:before="120"/>
        <w:jc w:val="center"/>
        <w:rPr>
          <w:b/>
          <w:bCs/>
          <w:iCs/>
          <w:highlight w:val="green"/>
        </w:rPr>
      </w:pPr>
    </w:p>
    <w:p w:rsidR="005D05E3" w:rsidRDefault="00590282">
      <w:pPr>
        <w:autoSpaceDE w:val="0"/>
        <w:autoSpaceDN w:val="0"/>
        <w:adjustRightInd w:val="0"/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 xml:space="preserve">2. ZMĚNOVÁ UJEDNÁNÍ </w:t>
      </w:r>
    </w:p>
    <w:p w:rsidR="005D05E3" w:rsidRDefault="00590282">
      <w:pPr>
        <w:autoSpaceDE w:val="0"/>
        <w:autoSpaceDN w:val="0"/>
        <w:adjustRightInd w:val="0"/>
        <w:spacing w:before="120"/>
        <w:jc w:val="both"/>
        <w:rPr>
          <w:iCs/>
        </w:rPr>
      </w:pPr>
      <w:r>
        <w:rPr>
          <w:b/>
          <w:bCs/>
          <w:iCs/>
        </w:rPr>
        <w:t>2.1</w:t>
      </w:r>
      <w:r>
        <w:rPr>
          <w:iCs/>
        </w:rPr>
        <w:t xml:space="preserve"> Smluvní strany shodně konstatují, že mezi nimi byla dne </w:t>
      </w:r>
      <w:proofErr w:type="gramStart"/>
      <w:r w:rsidR="00E40DAD">
        <w:rPr>
          <w:iCs/>
        </w:rPr>
        <w:t>16.4.2018</w:t>
      </w:r>
      <w:proofErr w:type="gramEnd"/>
      <w:r>
        <w:rPr>
          <w:iCs/>
        </w:rPr>
        <w:t xml:space="preserve"> uzavřena shora uvedená Kupní smlouva na nákup základního lůžkového vybavení pro poskytování zdravotních služeb na lůžkách následné lůžkové péče v Krušnohorské poliklinice s.r.o. (dál</w:t>
      </w:r>
      <w:bookmarkStart w:id="0" w:name="_GoBack"/>
      <w:bookmarkEnd w:id="0"/>
      <w:r>
        <w:rPr>
          <w:iCs/>
        </w:rPr>
        <w:t>e jen „Smlouva“).</w:t>
      </w:r>
    </w:p>
    <w:p w:rsidR="005D05E3" w:rsidRDefault="00590282">
      <w:pPr>
        <w:widowControl w:val="0"/>
        <w:tabs>
          <w:tab w:val="left" w:pos="1927"/>
          <w:tab w:val="left" w:pos="2211"/>
        </w:tabs>
        <w:autoSpaceDE w:val="0"/>
        <w:autoSpaceDN w:val="0"/>
        <w:adjustRightInd w:val="0"/>
        <w:spacing w:before="120"/>
        <w:jc w:val="both"/>
        <w:rPr>
          <w:iCs/>
        </w:rPr>
      </w:pPr>
      <w:r>
        <w:rPr>
          <w:b/>
          <w:iCs/>
        </w:rPr>
        <w:t xml:space="preserve">2.2 </w:t>
      </w:r>
      <w:r>
        <w:rPr>
          <w:iCs/>
        </w:rPr>
        <w:t>Smluvní strany se dohodly, že od nabytí účinnosti tohoto Dodatku č. 1 se Smlouva mění takto:</w:t>
      </w:r>
    </w:p>
    <w:p w:rsidR="005D05E3" w:rsidRDefault="005D05E3">
      <w:pPr>
        <w:jc w:val="both"/>
        <w:rPr>
          <w:i/>
        </w:rPr>
      </w:pPr>
    </w:p>
    <w:p w:rsidR="00E40DAD" w:rsidRDefault="00590282" w:rsidP="00E40DAD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V článku 2., odst. 2.1,</w:t>
      </w:r>
      <w:r w:rsidR="00E40DAD">
        <w:t xml:space="preserve"> se doplňuje bod </w:t>
      </w:r>
    </w:p>
    <w:p w:rsidR="005D05E3" w:rsidRDefault="00E40DAD" w:rsidP="00E40DAD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u w:val="single"/>
        </w:rPr>
      </w:pPr>
      <w:r>
        <w:t xml:space="preserve">L. </w:t>
      </w:r>
      <w:r>
        <w:rPr>
          <w:color w:val="000000"/>
          <w:u w:val="single"/>
        </w:rPr>
        <w:t>Dodávka toaletních a sprchových křesel ETAN CLEAN (55 cm)</w:t>
      </w:r>
    </w:p>
    <w:p w:rsidR="00E40DAD" w:rsidRPr="00E40DAD" w:rsidRDefault="00E40DAD" w:rsidP="00E40DAD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</w:pPr>
      <w:r>
        <w:t>Počet kusů: 2</w:t>
      </w:r>
    </w:p>
    <w:p w:rsidR="00E40DAD" w:rsidRPr="00E40DAD" w:rsidRDefault="00E40DAD" w:rsidP="00E40DA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D05E3" w:rsidRDefault="00590282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Dosavadní Článek 4 nově zní:</w:t>
      </w:r>
    </w:p>
    <w:p w:rsidR="005D05E3" w:rsidRDefault="005D05E3">
      <w:pPr>
        <w:pStyle w:val="Odstavecseseznamem"/>
      </w:pPr>
    </w:p>
    <w:p w:rsidR="005D05E3" w:rsidRDefault="00590282">
      <w:pPr>
        <w:pStyle w:val="slknadpis1prvn"/>
        <w:spacing w:before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84240323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Cena</w:t>
      </w:r>
    </w:p>
    <w:p w:rsidR="005D05E3" w:rsidRDefault="005D05E3">
      <w:pPr>
        <w:pStyle w:val="slknadpis1prvn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5E3" w:rsidRDefault="00590282">
      <w:pPr>
        <w:pStyle w:val="Zkladntext"/>
        <w:numPr>
          <w:ilvl w:val="1"/>
          <w:numId w:val="12"/>
        </w:numPr>
        <w:jc w:val="both"/>
        <w:rPr>
          <w:i/>
          <w:szCs w:val="24"/>
        </w:rPr>
      </w:pPr>
      <w:r>
        <w:rPr>
          <w:i/>
          <w:szCs w:val="24"/>
        </w:rPr>
        <w:t>Cena za dodávky (dále jen „cena“) je ujednána takto:</w:t>
      </w:r>
    </w:p>
    <w:p w:rsidR="005D05E3" w:rsidRDefault="00590282">
      <w:pPr>
        <w:pStyle w:val="Zkladntext"/>
        <w:numPr>
          <w:ilvl w:val="0"/>
          <w:numId w:val="15"/>
        </w:numPr>
        <w:jc w:val="both"/>
        <w:rPr>
          <w:i/>
          <w:szCs w:val="24"/>
        </w:rPr>
      </w:pPr>
      <w:r>
        <w:rPr>
          <w:i/>
          <w:szCs w:val="24"/>
        </w:rPr>
        <w:t xml:space="preserve">Cena bez DPH: </w:t>
      </w:r>
      <w:r w:rsidR="00427D7F">
        <w:rPr>
          <w:b/>
          <w:i/>
          <w:szCs w:val="24"/>
        </w:rPr>
        <w:t>584.247</w:t>
      </w:r>
      <w:r>
        <w:rPr>
          <w:b/>
          <w:i/>
          <w:szCs w:val="24"/>
        </w:rPr>
        <w:t>,- Kč</w:t>
      </w:r>
    </w:p>
    <w:p w:rsidR="005D05E3" w:rsidRDefault="00590282">
      <w:pPr>
        <w:pStyle w:val="Zkladntext"/>
        <w:numPr>
          <w:ilvl w:val="0"/>
          <w:numId w:val="15"/>
        </w:numPr>
        <w:suppressAutoHyphens/>
        <w:jc w:val="both"/>
        <w:rPr>
          <w:i/>
          <w:szCs w:val="24"/>
        </w:rPr>
      </w:pPr>
      <w:r>
        <w:rPr>
          <w:i/>
          <w:szCs w:val="24"/>
        </w:rPr>
        <w:t xml:space="preserve">DPH ve výši podle právních předpisů platných v době vyúčtování ceny: </w:t>
      </w:r>
      <w:r w:rsidR="00427D7F">
        <w:rPr>
          <w:b/>
          <w:i/>
          <w:szCs w:val="24"/>
        </w:rPr>
        <w:t>106.900</w:t>
      </w:r>
      <w:r>
        <w:rPr>
          <w:b/>
          <w:i/>
          <w:szCs w:val="24"/>
        </w:rPr>
        <w:t>,- Kč</w:t>
      </w:r>
    </w:p>
    <w:p w:rsidR="005D05E3" w:rsidRDefault="00590282">
      <w:pPr>
        <w:pStyle w:val="Zkladntext"/>
        <w:numPr>
          <w:ilvl w:val="0"/>
          <w:numId w:val="15"/>
        </w:numPr>
        <w:suppressAutoHyphens/>
        <w:jc w:val="both"/>
        <w:rPr>
          <w:i/>
          <w:szCs w:val="24"/>
        </w:rPr>
      </w:pPr>
      <w:r>
        <w:rPr>
          <w:i/>
          <w:szCs w:val="24"/>
        </w:rPr>
        <w:t>Celková cena včetně DPH:</w:t>
      </w:r>
      <w:r>
        <w:rPr>
          <w:b/>
          <w:i/>
          <w:szCs w:val="24"/>
        </w:rPr>
        <w:t xml:space="preserve"> </w:t>
      </w:r>
      <w:r w:rsidR="00427D7F">
        <w:rPr>
          <w:b/>
          <w:i/>
          <w:szCs w:val="24"/>
        </w:rPr>
        <w:t>691.147</w:t>
      </w:r>
      <w:r>
        <w:rPr>
          <w:b/>
          <w:i/>
          <w:szCs w:val="24"/>
        </w:rPr>
        <w:t>,- Kč</w:t>
      </w:r>
    </w:p>
    <w:p w:rsidR="005D05E3" w:rsidRDefault="005D05E3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:rsidR="00427D7F" w:rsidRDefault="00427D7F">
      <w:pPr>
        <w:pStyle w:val="Odstavecseseznamem"/>
        <w:overflowPunct w:val="0"/>
        <w:autoSpaceDE w:val="0"/>
        <w:autoSpaceDN w:val="0"/>
        <w:adjustRightInd w:val="0"/>
        <w:ind w:left="0"/>
        <w:contextualSpacing w:val="0"/>
        <w:jc w:val="both"/>
        <w:textAlignment w:val="baseline"/>
        <w:rPr>
          <w:b/>
        </w:rPr>
      </w:pPr>
    </w:p>
    <w:p w:rsidR="005D05E3" w:rsidRDefault="00590282">
      <w:pPr>
        <w:pStyle w:val="Odstavecseseznamem"/>
        <w:overflowPunct w:val="0"/>
        <w:autoSpaceDE w:val="0"/>
        <w:autoSpaceDN w:val="0"/>
        <w:adjustRightInd w:val="0"/>
        <w:ind w:left="0"/>
        <w:contextualSpacing w:val="0"/>
        <w:jc w:val="both"/>
        <w:textAlignment w:val="baseline"/>
      </w:pPr>
      <w:r>
        <w:rPr>
          <w:b/>
        </w:rPr>
        <w:lastRenderedPageBreak/>
        <w:t>2.3</w:t>
      </w:r>
      <w:r>
        <w:t xml:space="preserve"> V dalším zůstává Smlouva nezměněna.</w:t>
      </w:r>
    </w:p>
    <w:p w:rsidR="005D05E3" w:rsidRDefault="005D05E3">
      <w:pPr>
        <w:jc w:val="both"/>
      </w:pPr>
    </w:p>
    <w:p w:rsidR="005D05E3" w:rsidRDefault="005D05E3">
      <w:pPr>
        <w:jc w:val="both"/>
        <w:rPr>
          <w:i/>
        </w:rPr>
      </w:pPr>
    </w:p>
    <w:p w:rsidR="005D05E3" w:rsidRDefault="00590282">
      <w:pPr>
        <w:jc w:val="center"/>
        <w:rPr>
          <w:b/>
        </w:rPr>
      </w:pPr>
      <w:r>
        <w:rPr>
          <w:b/>
        </w:rPr>
        <w:t xml:space="preserve">3. ZÁVĚREČNÁ UJEDNÁNÍ </w:t>
      </w:r>
    </w:p>
    <w:p w:rsidR="005D05E3" w:rsidRDefault="005D05E3"/>
    <w:p w:rsidR="005D05E3" w:rsidRDefault="005D05E3"/>
    <w:p w:rsidR="005D05E3" w:rsidRDefault="00590282">
      <w:pPr>
        <w:suppressAutoHyphens/>
        <w:jc w:val="both"/>
      </w:pPr>
      <w:r>
        <w:rPr>
          <w:b/>
        </w:rPr>
        <w:t>3.1</w:t>
      </w:r>
      <w:r>
        <w:t xml:space="preserve"> Ostatní ustanovení Smlouvy tímto Dodatkem č. 1 nedotčená zůstávají beze změny.</w:t>
      </w:r>
    </w:p>
    <w:p w:rsidR="005D05E3" w:rsidRDefault="005D05E3">
      <w:pPr>
        <w:suppressAutoHyphens/>
        <w:jc w:val="both"/>
      </w:pPr>
    </w:p>
    <w:p w:rsidR="005D05E3" w:rsidRDefault="00590282">
      <w:pPr>
        <w:suppressAutoHyphens/>
        <w:jc w:val="both"/>
      </w:pPr>
      <w:r>
        <w:rPr>
          <w:b/>
        </w:rPr>
        <w:t>3.2</w:t>
      </w:r>
      <w:r>
        <w:t xml:space="preserve"> Smluvní strany se dohodly na tom, že tento Dodatek č. 1 nabývá platnosti a účinnosti dnem jeho podpisu oběma smluvními stranami.</w:t>
      </w:r>
    </w:p>
    <w:p w:rsidR="005D05E3" w:rsidRDefault="005D05E3">
      <w:pPr>
        <w:pStyle w:val="Odstavecseseznamem"/>
      </w:pPr>
    </w:p>
    <w:p w:rsidR="005D05E3" w:rsidRDefault="00590282">
      <w:pPr>
        <w:suppressAutoHyphens/>
        <w:jc w:val="both"/>
      </w:pPr>
      <w:r>
        <w:rPr>
          <w:b/>
        </w:rPr>
        <w:t>3.3</w:t>
      </w:r>
      <w:r>
        <w:t xml:space="preserve"> Tento Dodatek č. 1 bude v úplném znění uveřejněn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kupující, který zároveň zajistí, aby informace o uveřejnění tohoto Dodatku č. 1 byla zaslána příjemci do datové schránky </w:t>
      </w:r>
      <w:proofErr w:type="spellStart"/>
      <w:r>
        <w:rPr>
          <w:bCs/>
        </w:rPr>
        <w:t>whdhwkf</w:t>
      </w:r>
      <w:proofErr w:type="spellEnd"/>
      <w:r>
        <w:rPr>
          <w:bCs/>
        </w:rPr>
        <w:t>.</w:t>
      </w: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Litvínově, dne </w:t>
      </w:r>
      <w:proofErr w:type="gramStart"/>
      <w:r w:rsidR="00427D7F">
        <w:rPr>
          <w:rFonts w:ascii="Times New Roman" w:hAnsi="Times New Roman" w:cs="Times New Roman"/>
          <w:color w:val="000000"/>
          <w:sz w:val="24"/>
          <w:szCs w:val="24"/>
        </w:rPr>
        <w:t>26.6.2018</w:t>
      </w:r>
      <w:proofErr w:type="gramEnd"/>
      <w:r w:rsidR="00427D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7D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V Břeclavi, dne </w:t>
      </w:r>
      <w:r w:rsidR="00427D7F">
        <w:rPr>
          <w:rFonts w:ascii="Times New Roman" w:hAnsi="Times New Roman" w:cs="Times New Roman"/>
          <w:color w:val="000000"/>
          <w:sz w:val="24"/>
          <w:szCs w:val="24"/>
        </w:rPr>
        <w:t>26.6.2018</w:t>
      </w: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Podpis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Podpis</w:t>
      </w:r>
      <w:proofErr w:type="spellEnd"/>
      <w:proofErr w:type="gramEnd"/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kupujícího                                                                         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prodávajícího</w:t>
      </w: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D05E3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____________________</w:t>
      </w:r>
      <w:proofErr w:type="gramEnd"/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Hana Sošková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Bednár</w:t>
      </w:r>
      <w:proofErr w:type="spellEnd"/>
    </w:p>
    <w:p w:rsidR="005D05E3" w:rsidRDefault="00590282">
      <w:pPr>
        <w:pStyle w:val="slknormln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jednatelka společnosti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prokurista společnosti</w:t>
      </w:r>
    </w:p>
    <w:p w:rsidR="005D05E3" w:rsidRDefault="005D05E3">
      <w:pPr>
        <w:pStyle w:val="slknormln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05E3" w:rsidRDefault="005D05E3">
      <w:pPr>
        <w:jc w:val="center"/>
        <w:rPr>
          <w:b/>
          <w:bCs/>
          <w:sz w:val="32"/>
          <w:szCs w:val="32"/>
        </w:rPr>
      </w:pPr>
    </w:p>
    <w:sectPr w:rsidR="005D05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11" w:rsidRDefault="00DE7711">
      <w:r>
        <w:separator/>
      </w:r>
    </w:p>
  </w:endnote>
  <w:endnote w:type="continuationSeparator" w:id="0">
    <w:p w:rsidR="00DE7711" w:rsidRDefault="00D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Franklin Gothic Heavy">
    <w:altName w:val="Arial Black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E3" w:rsidRDefault="00590282">
    <w:pPr>
      <w:overflowPunct w:val="0"/>
      <w:autoSpaceDE w:val="0"/>
      <w:autoSpaceDN w:val="0"/>
      <w:adjustRightInd w:val="0"/>
      <w:textAlignment w:val="baseline"/>
      <w:rPr>
        <w:rFonts w:asciiTheme="majorHAnsi" w:hAnsiTheme="majorHAnsi"/>
      </w:rPr>
    </w:pPr>
    <w:r>
      <w:rPr>
        <w:rFonts w:asciiTheme="majorHAnsi" w:hAnsiTheme="majorHAnsi"/>
        <w:bCs/>
        <w:caps/>
      </w:rPr>
      <w:t xml:space="preserve"> „ N</w:t>
    </w:r>
    <w:r>
      <w:rPr>
        <w:rFonts w:asciiTheme="majorHAnsi" w:hAnsiTheme="majorHAnsi"/>
        <w:bCs/>
      </w:rPr>
      <w:t xml:space="preserve">ákup základního lůžkového vybavení </w:t>
    </w:r>
    <w:r>
      <w:rPr>
        <w:rFonts w:asciiTheme="majorHAnsi" w:hAnsiTheme="majorHAnsi" w:cs="Arial"/>
      </w:rPr>
      <w:t xml:space="preserve">pro poskytování zdravotních služeb na lůžkách následné lůžkové péče </w:t>
    </w:r>
    <w:r>
      <w:rPr>
        <w:rFonts w:asciiTheme="majorHAnsi" w:hAnsiTheme="majorHAnsi"/>
        <w:bCs/>
      </w:rPr>
      <w:t>v  Krušnohorské poliklinice s.r.o.“</w:t>
    </w:r>
  </w:p>
  <w:p w:rsidR="005D05E3" w:rsidRDefault="0059028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A0FEE" w:rsidRPr="00DA0F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5D05E3" w:rsidRDefault="005D0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11" w:rsidRDefault="00DE7711">
      <w:r>
        <w:separator/>
      </w:r>
    </w:p>
  </w:footnote>
  <w:footnote w:type="continuationSeparator" w:id="0">
    <w:p w:rsidR="00DE7711" w:rsidRDefault="00DE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E3" w:rsidRDefault="00590282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Krušnohorská poliklinika s.r.o. </w:t>
    </w:r>
  </w:p>
  <w:p w:rsidR="005D05E3" w:rsidRDefault="00590282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</w:rPr>
      <w:t>Žižkova 151, 436 01 Litvínov</w:t>
    </w:r>
  </w:p>
  <w:p w:rsidR="005D05E3" w:rsidRDefault="00590282">
    <w:pPr>
      <w:pStyle w:val="Zhlav"/>
      <w:pBdr>
        <w:bottom w:val="single" w:sz="6" w:space="1" w:color="auto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IČ 25030302, DIČ CZ25030302</w:t>
    </w:r>
  </w:p>
  <w:p w:rsidR="005D05E3" w:rsidRDefault="005D05E3">
    <w:pPr>
      <w:pStyle w:val="Zhlav"/>
      <w:pBdr>
        <w:bottom w:val="single" w:sz="6" w:space="1" w:color="auto"/>
      </w:pBdr>
      <w:jc w:val="center"/>
      <w:rPr>
        <w:rFonts w:asciiTheme="majorHAnsi" w:hAnsiTheme="majorHAnsi"/>
      </w:rPr>
    </w:pPr>
  </w:p>
  <w:p w:rsidR="005D05E3" w:rsidRDefault="005D05E3">
    <w:pPr>
      <w:pStyle w:val="Zhlav"/>
      <w:jc w:val="center"/>
      <w:rPr>
        <w:rFonts w:asciiTheme="majorHAnsi" w:hAnsiTheme="majorHAnsi"/>
      </w:rPr>
    </w:pPr>
  </w:p>
  <w:p w:rsidR="005D05E3" w:rsidRDefault="005D05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A41172"/>
    <w:multiLevelType w:val="multilevel"/>
    <w:tmpl w:val="D72E8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470608"/>
    <w:multiLevelType w:val="multilevel"/>
    <w:tmpl w:val="3E84D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28130E97"/>
    <w:multiLevelType w:val="hybridMultilevel"/>
    <w:tmpl w:val="A490B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6C3A"/>
    <w:multiLevelType w:val="hybridMultilevel"/>
    <w:tmpl w:val="786AEC98"/>
    <w:lvl w:ilvl="0" w:tplc="EFE60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090F"/>
    <w:multiLevelType w:val="hybridMultilevel"/>
    <w:tmpl w:val="887A5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2A1A27"/>
    <w:multiLevelType w:val="hybridMultilevel"/>
    <w:tmpl w:val="F9E6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495B"/>
    <w:multiLevelType w:val="hybridMultilevel"/>
    <w:tmpl w:val="BBAA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76D4"/>
    <w:multiLevelType w:val="hybridMultilevel"/>
    <w:tmpl w:val="EFE2407C"/>
    <w:lvl w:ilvl="0" w:tplc="EFE60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0CD8"/>
    <w:multiLevelType w:val="hybridMultilevel"/>
    <w:tmpl w:val="D49A9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726"/>
    <w:multiLevelType w:val="multilevel"/>
    <w:tmpl w:val="348065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A0F25"/>
    <w:multiLevelType w:val="hybridMultilevel"/>
    <w:tmpl w:val="13F4FD06"/>
    <w:lvl w:ilvl="0" w:tplc="5A54B2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4BA2"/>
    <w:multiLevelType w:val="hybridMultilevel"/>
    <w:tmpl w:val="B9940D9A"/>
    <w:lvl w:ilvl="0" w:tplc="51828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DE45F3"/>
    <w:multiLevelType w:val="hybridMultilevel"/>
    <w:tmpl w:val="9F8432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1112474"/>
    <w:multiLevelType w:val="hybridMultilevel"/>
    <w:tmpl w:val="E37A5146"/>
    <w:lvl w:ilvl="0" w:tplc="469EAF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8685F"/>
    <w:multiLevelType w:val="hybridMultilevel"/>
    <w:tmpl w:val="674645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16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E3"/>
    <w:rsid w:val="00427D7F"/>
    <w:rsid w:val="00590282"/>
    <w:rsid w:val="005D05E3"/>
    <w:rsid w:val="009E74A7"/>
    <w:rsid w:val="00C11361"/>
    <w:rsid w:val="00C249E7"/>
    <w:rsid w:val="00DA0FEE"/>
    <w:rsid w:val="00DE7711"/>
    <w:rsid w:val="00E40DAD"/>
    <w:rsid w:val="00E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BC7580-6DAF-41C2-B295-C036C64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/>
      <w:b/>
      <w:caps/>
      <w:sz w:val="24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Pr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 w:val="24"/>
      <w:szCs w:val="20"/>
    </w:rPr>
  </w:style>
  <w:style w:type="paragraph" w:customStyle="1" w:styleId="Normln0">
    <w:name w:val="Normální~"/>
    <w:basedOn w:val="Normln"/>
    <w:pPr>
      <w:widowControl w:val="0"/>
    </w:pPr>
    <w:rPr>
      <w:sz w:val="20"/>
      <w:szCs w:val="20"/>
    </w:rPr>
  </w:style>
  <w:style w:type="paragraph" w:customStyle="1" w:styleId="Odstavecseseznamem1">
    <w:name w:val="Odstavec se seznamem1"/>
    <w:basedOn w:val="Normln"/>
    <w:pPr>
      <w:suppressAutoHyphens/>
    </w:pPr>
    <w:rPr>
      <w:rFonts w:ascii="Book Antiqua" w:hAnsi="Book Antiqua"/>
      <w:kern w:val="1"/>
      <w:sz w:val="22"/>
      <w:szCs w:val="22"/>
      <w:lang w:eastAsia="ar-SA"/>
    </w:rPr>
  </w:style>
  <w:style w:type="paragraph" w:styleId="Podpise-mailu">
    <w:name w:val="E-mail Signature"/>
    <w:basedOn w:val="Normln"/>
    <w:link w:val="Podpise-mailuChar"/>
  </w:style>
  <w:style w:type="character" w:customStyle="1" w:styleId="Podpise-mailuChar">
    <w:name w:val="Podpis e-mailu Char"/>
    <w:basedOn w:val="Standardnpsmoodstavce"/>
    <w:link w:val="Podpise-mailu"/>
    <w:rPr>
      <w:rFonts w:ascii="Times New Roman" w:eastAsia="Times New Roman" w:hAnsi="Times New Roman"/>
      <w:sz w:val="24"/>
      <w:szCs w:val="24"/>
    </w:rPr>
  </w:style>
  <w:style w:type="paragraph" w:customStyle="1" w:styleId="przdndek">
    <w:name w:val="prázdný řádek"/>
    <w:basedOn w:val="Normln"/>
    <w:qFormat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Tabulka1">
    <w:name w:val="Tabulka 1"/>
    <w:basedOn w:val="Normlnbez"/>
    <w:uiPriority w:val="99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pPr>
      <w:spacing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paragraph" w:customStyle="1" w:styleId="slknormln">
    <w:name w:val="slk normální"/>
    <w:basedOn w:val="Normln"/>
    <w:uiPriority w:val="99"/>
    <w:pPr>
      <w:spacing w:before="24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E78A-D540-4845-8F2D-88E5ABBB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Krušnohorská poliklinika s.r.o.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kolodziejova</dc:creator>
  <cp:lastModifiedBy>jednatelstvi</cp:lastModifiedBy>
  <cp:revision>3</cp:revision>
  <cp:lastPrinted>2018-07-09T13:42:00Z</cp:lastPrinted>
  <dcterms:created xsi:type="dcterms:W3CDTF">2018-07-26T12:16:00Z</dcterms:created>
  <dcterms:modified xsi:type="dcterms:W3CDTF">2018-07-26T12:17:00Z</dcterms:modified>
</cp:coreProperties>
</file>