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0736D5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D6B3D" w:rsidRDefault="005E23C1" w:rsidP="003D6B3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D6B3D" w:rsidRPr="003D6B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</w:t>
      </w:r>
      <w:proofErr w:type="gramStart"/>
      <w:r w:rsidR="003D6B3D" w:rsidRPr="003D6B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PRAHA ,spol.</w:t>
      </w:r>
      <w:proofErr w:type="gramEnd"/>
      <w:r w:rsidR="003D6B3D" w:rsidRPr="003D6B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 r.o.</w:t>
      </w:r>
    </w:p>
    <w:p w:rsidR="005E23C1" w:rsidRPr="00B85BDC" w:rsidRDefault="003D6B3D" w:rsidP="003D6B3D">
      <w:pPr>
        <w:tabs>
          <w:tab w:val="left" w:pos="708"/>
          <w:tab w:val="left" w:pos="1416"/>
          <w:tab w:val="left" w:pos="2124"/>
          <w:tab w:val="left" w:pos="2832"/>
          <w:tab w:val="left" w:pos="4195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se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sídlem:</w:t>
      </w:r>
      <w:r w:rsidR="005E23C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Praha 10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á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D6B3D"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D6B3D">
        <w:rPr>
          <w:rFonts w:ascii="Helvetica" w:eastAsia="Times New Roman" w:hAnsi="Helvetica" w:cs="Times New Roman"/>
          <w:sz w:val="20"/>
          <w:szCs w:val="20"/>
          <w:lang w:eastAsia="cs-CZ"/>
        </w:rPr>
        <w:t>CZ18629512</w:t>
      </w:r>
    </w:p>
    <w:p w:rsidR="00B77C1D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3D6B3D" w:rsidRDefault="003D6B3D" w:rsidP="003D6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e-mail:</w:t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5E23C1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Default="005E23C1" w:rsidP="003D6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77C1D" w:rsidRDefault="00B77C1D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3214A" w:rsidRDefault="00D3214A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3214A" w:rsidRPr="00B85BDC" w:rsidRDefault="00D3214A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CE507A" w:rsidRPr="00CE507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- Výměna protipožárních uzávěrů na podlaží</w:t>
      </w:r>
      <w:r w:rsidR="00FC09FB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A2</w:t>
      </w:r>
      <w:r w:rsidR="004945B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„</w:t>
      </w:r>
      <w:r w:rsidRPr="00EA7461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DS Háje – 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A</w:t>
      </w:r>
      <w:r w:rsidR="00E559E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2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 xml:space="preserve"> stavební opravy – výměna dveří </w:t>
      </w:r>
      <w:r w:rsidR="00E559E4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CPL</w:t>
      </w:r>
      <w:r w:rsidR="00CE507A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- protipožární</w:t>
      </w:r>
      <w:r w:rsidR="006224B7"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  <w:t>“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, který tvoří přílohu č. 1 této Smlouvy s</w:t>
      </w:r>
      <w:r w:rsidR="00CE507A">
        <w:rPr>
          <w:rFonts w:ascii="Helvetica" w:eastAsia="Times New Roman" w:hAnsi="Helvetica" w:cs="Times New Roman"/>
          <w:sz w:val="20"/>
          <w:szCs w:val="20"/>
          <w:lang w:eastAsia="cs-CZ"/>
        </w:rPr>
        <w:t>e specifikací dle položkového rozpočtu, t</w:t>
      </w:r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yp dveří </w:t>
      </w:r>
      <w:proofErr w:type="spellStart"/>
      <w:r w:rsidR="00D3214A">
        <w:rPr>
          <w:rFonts w:ascii="Helvetica" w:eastAsia="Times New Roman" w:hAnsi="Helvetica" w:cs="Times New Roman"/>
          <w:sz w:val="20"/>
          <w:szCs w:val="20"/>
          <w:lang w:eastAsia="cs-CZ"/>
        </w:rPr>
        <w:t>Elegant</w:t>
      </w:r>
      <w:proofErr w:type="spellEnd"/>
      <w:r w:rsidR="00CE507A">
        <w:rPr>
          <w:rFonts w:ascii="Helvetica" w:eastAsia="Times New Roman" w:hAnsi="Helvetica" w:cs="Times New Roman"/>
          <w:sz w:val="20"/>
          <w:szCs w:val="20"/>
          <w:lang w:eastAsia="cs-CZ"/>
        </w:rPr>
        <w:t>, protipožární.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>rovedení bude splňovat požadavky požárně-bezpečnostní řešení objektu.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Rozměry dveří budou splňovat požadavky na průchodnost v objektu poskytující sociální a zdravotní služby.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o</w:t>
      </w:r>
      <w:r w:rsidR="00EA746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zahrnuje veškeré další práce nutné k provedení díla, například a ne pouze, úpravy nebo vybourání stávajících zárubní, zednické práce aj. 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CE507A" w:rsidRPr="00B85BDC" w:rsidRDefault="00CE507A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2124" w:firstLine="708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bez   DPH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D6B3D">
        <w:rPr>
          <w:rFonts w:ascii="Helvetica" w:eastAsia="Times New Roman" w:hAnsi="Helvetica" w:cs="Times New Roman"/>
          <w:sz w:val="20"/>
          <w:szCs w:val="20"/>
          <w:lang w:eastAsia="cs-CZ"/>
        </w:rPr>
        <w:t>481.215,-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DPH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D6B3D">
        <w:rPr>
          <w:rFonts w:ascii="Helvetica" w:eastAsia="Times New Roman" w:hAnsi="Helvetica" w:cs="Times New Roman"/>
          <w:sz w:val="20"/>
          <w:szCs w:val="20"/>
          <w:lang w:eastAsia="cs-CZ"/>
        </w:rPr>
        <w:t>72.182,25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Kč</w:t>
      </w:r>
    </w:p>
    <w:p w:rsidR="005E23C1" w:rsidRPr="00816017" w:rsidRDefault="005E23C1" w:rsidP="005E23C1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celkem </w:t>
      </w:r>
      <w:proofErr w:type="gramStart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>vč.  DPH</w:t>
      </w:r>
      <w:proofErr w:type="gramEnd"/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3D6B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552.397,25</w:t>
      </w:r>
      <w:r w:rsidRPr="00816017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</w:t>
      </w:r>
      <w:r w:rsidR="006224B7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 uvedený v příloze č. 1 této smlouvy, která je nedílnou součástí této smlouvy. </w:t>
      </w:r>
    </w:p>
    <w:p w:rsidR="005E23C1" w:rsidRPr="00B85BDC" w:rsidRDefault="005E23C1" w:rsidP="005E23C1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ceně bez daně přidané hodnoty bude připočítána platná sazba daně z přidané hodnoty.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5E23C1" w:rsidRPr="00B85BDC" w:rsidRDefault="005E23C1" w:rsidP="005E23C1">
      <w:pPr>
        <w:numPr>
          <w:ilvl w:val="0"/>
          <w:numId w:val="11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Zahájení plnění díla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dne </w:t>
      </w:r>
      <w:r w:rsidR="003D6B3D" w:rsidRPr="003D6B3D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16.7.2018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9A0C63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</w:t>
      </w:r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proofErr w:type="gramStart"/>
      <w:r w:rsidR="00E559E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30.</w:t>
      </w:r>
      <w:r w:rsidR="00CE507A">
        <w:rPr>
          <w:rFonts w:ascii="Helvetica" w:eastAsia="Times New Roman" w:hAnsi="Helvetica" w:cs="Times New Roman"/>
          <w:b/>
          <w:sz w:val="20"/>
          <w:szCs w:val="20"/>
          <w:lang w:eastAsia="cs-CZ"/>
        </w:rPr>
        <w:t>7</w:t>
      </w:r>
      <w:r w:rsidR="00E559E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.2018</w:t>
      </w:r>
      <w:proofErr w:type="gramEnd"/>
      <w:r w:rsidR="007E184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v době 18:00 – 08:00 hod.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odpovídá za to, že dílo bude mít po celou dobu záruky dle odst.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 vlastnosti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dohodnuté v této smlouvě, stanovené právními předpisy, případně vlastnosti obvyklé.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dnů. Sankce za nedodržení této lhůty byla dohodnuta na 5 000 Kč za každý započatý kalendářní den zpoždění.</w:t>
      </w:r>
    </w:p>
    <w:p w:rsidR="005E23C1" w:rsidRPr="001E0BA3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  Záruka se nev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E62EDA" w:rsidRDefault="005E23C1" w:rsidP="005E23C1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5E23C1" w:rsidRPr="004F32BD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Pr="00482AE1">
        <w:rPr>
          <w:rFonts w:cs="Arial"/>
          <w:snapToGrid w:val="0"/>
          <w:sz w:val="22"/>
        </w:rPr>
        <w:tab/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lastRenderedPageBreak/>
        <w:tab/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5E23C1" w:rsidRPr="00B85BDC" w:rsidRDefault="005E23C1" w:rsidP="005E23C1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5E23C1" w:rsidRPr="00B85BDC" w:rsidRDefault="005E23C1" w:rsidP="005E23C1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Smluvní pokuta za nesplnění termínu předání díla se nevztahuje na dodávku a montáž barevných kruhů z PVC na podlaze před výtahy vzhledem k tomu, že k datu podpisu smlouvy není upřesněný materiál tohoto prvku.    </w:t>
      </w: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pokuta je splatná ve lhůtě 30 dní ode dne doručení jejího vyúčtování</w:t>
      </w:r>
    </w:p>
    <w:p w:rsidR="005E23C1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5E23C1" w:rsidRPr="00B85BDC" w:rsidRDefault="005E23C1" w:rsidP="005E23C1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5E23C1" w:rsidRPr="000D1C00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5E23C1" w:rsidRPr="00B85BDC" w:rsidRDefault="005E23C1" w:rsidP="005E23C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5E23C1" w:rsidRPr="00B85BDC" w:rsidRDefault="005E23C1" w:rsidP="005E23C1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5E23C1" w:rsidRPr="00B85BDC" w:rsidRDefault="005E23C1" w:rsidP="005E23C1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5E23C1" w:rsidRPr="00B85BDC" w:rsidRDefault="005E23C1" w:rsidP="005E23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5E23C1" w:rsidRPr="00B85BDC" w:rsidRDefault="005E23C1" w:rsidP="005E23C1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5E23C1" w:rsidRPr="00B85BDC" w:rsidRDefault="005E23C1" w:rsidP="005E23C1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zákona č. 89/2012 Sb. O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b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čanského zákoníku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předpisy souvisejícími.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</w:t>
      </w:r>
      <w:smartTag w:uri="urn:schemas-microsoft-com:office:smarttags" w:element="metricconverter">
        <w:smartTagPr>
          <w:attr w:name="ProductID" w:val="1 a"/>
        </w:smartTagPr>
        <w:r w:rsidRPr="00B85BDC">
          <w:rPr>
            <w:rFonts w:ascii="Helvetica" w:eastAsia="Times New Roman" w:hAnsi="Helvetica" w:cs="Times New Roman"/>
            <w:sz w:val="20"/>
            <w:szCs w:val="20"/>
            <w:lang w:eastAsia="cs-CZ"/>
          </w:rPr>
          <w:t>1 a</w:t>
        </w:r>
      </w:smartTag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1 výtisk, což platí i k budoucím dodatkům.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3D6B3D">
        <w:rPr>
          <w:rFonts w:ascii="Helvetica" w:eastAsia="Times New Roman" w:hAnsi="Helvetica" w:cs="Times New Roman"/>
          <w:sz w:val="20"/>
          <w:szCs w:val="20"/>
          <w:lang w:eastAsia="cs-CZ"/>
        </w:rPr>
        <w:t>10.7.2018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="00E559E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4C4CED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5E52E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10. 7. </w:t>
      </w:r>
      <w:bookmarkStart w:id="0" w:name="_GoBack"/>
      <w:bookmarkEnd w:id="0"/>
      <w:r w:rsidR="005E52E2">
        <w:rPr>
          <w:rFonts w:ascii="Helvetica" w:eastAsia="Times New Roman" w:hAnsi="Helvetica" w:cs="Times New Roman"/>
          <w:sz w:val="20"/>
          <w:szCs w:val="20"/>
          <w:lang w:eastAsia="cs-CZ"/>
        </w:rPr>
        <w:t>2018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5E23C1" w:rsidRPr="00B85BDC" w:rsidRDefault="005E23C1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5E23C1" w:rsidRPr="00B85BDC" w:rsidRDefault="00710D3F" w:rsidP="005E23C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          </w:t>
      </w:r>
    </w:p>
    <w:p w:rsidR="00166EAC" w:rsidRPr="00A961F9" w:rsidRDefault="005E23C1" w:rsidP="006224B7">
      <w:pPr>
        <w:spacing w:before="0" w:line="240" w:lineRule="auto"/>
        <w:jc w:val="both"/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  <w:r w:rsidR="006224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č. 1 oceněný </w:t>
      </w:r>
      <w:r w:rsidR="00710D3F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</w:p>
    <w:sectPr w:rsidR="00166EAC" w:rsidRPr="00A961F9" w:rsidSect="00095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993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6E" w:rsidRDefault="0006006E" w:rsidP="003D2616">
      <w:pPr>
        <w:spacing w:before="0" w:line="240" w:lineRule="auto"/>
      </w:pPr>
      <w:r>
        <w:separator/>
      </w:r>
    </w:p>
  </w:endnote>
  <w:endnote w:type="continuationSeparator" w:id="0">
    <w:p w:rsidR="0006006E" w:rsidRDefault="0006006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A8" w:rsidRDefault="000A4DA8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15BF6E" wp14:editId="145D9284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A8" w:rsidRDefault="000A4DA8">
    <w:pPr>
      <w:pStyle w:val="Zpat"/>
      <w:rPr>
        <w:lang w:val="en-US"/>
      </w:rPr>
    </w:pPr>
  </w:p>
  <w:p w:rsidR="000A4DA8" w:rsidRDefault="00843049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CA843A" wp14:editId="483FA0B4">
              <wp:simplePos x="0" y="0"/>
              <wp:positionH relativeFrom="column">
                <wp:posOffset>3527425</wp:posOffset>
              </wp:positionH>
              <wp:positionV relativeFrom="paragraph">
                <wp:posOffset>266700</wp:posOffset>
              </wp:positionV>
              <wp:extent cx="862330" cy="178435"/>
              <wp:effectExtent l="3175" t="0" r="1270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2330" cy="178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7.75pt;margin-top:21pt;width:67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w2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" stroked="f"/>
          </w:pict>
        </mc:Fallback>
      </mc:AlternateContent>
    </w:r>
  </w:p>
  <w:p w:rsidR="000A4DA8" w:rsidRDefault="000A4DA8">
    <w:pPr>
      <w:pStyle w:val="Zpat"/>
      <w:rPr>
        <w:lang w:val="en-US"/>
      </w:rPr>
    </w:pPr>
  </w:p>
  <w:p w:rsidR="000A4DA8" w:rsidRPr="00070C88" w:rsidRDefault="000A4DA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6E" w:rsidRDefault="0006006E" w:rsidP="003D2616">
      <w:pPr>
        <w:spacing w:before="0" w:line="240" w:lineRule="auto"/>
      </w:pPr>
      <w:r>
        <w:separator/>
      </w:r>
    </w:p>
  </w:footnote>
  <w:footnote w:type="continuationSeparator" w:id="0">
    <w:p w:rsidR="0006006E" w:rsidRDefault="0006006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15" w:rsidRDefault="00AD46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71"/>
    </w:tblGrid>
    <w:tr w:rsidR="000A4DA8" w:rsidRPr="00232C66" w:rsidTr="004927DC">
      <w:trPr>
        <w:trHeight w:val="74"/>
      </w:trPr>
      <w:tc>
        <w:tcPr>
          <w:tcW w:w="10606" w:type="dxa"/>
        </w:tcPr>
        <w:p w:rsidR="000A4DA8" w:rsidRPr="00232C66" w:rsidRDefault="000A4DA8" w:rsidP="004927DC">
          <w:pPr>
            <w:pStyle w:val="Zhlav"/>
            <w:rPr>
              <w:sz w:val="15"/>
              <w:szCs w:val="15"/>
            </w:rPr>
          </w:pPr>
        </w:p>
      </w:tc>
    </w:tr>
  </w:tbl>
  <w:p w:rsidR="000A4DA8" w:rsidRPr="00232C66" w:rsidRDefault="000A4DA8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09"/>
    </w:tblGrid>
    <w:tr w:rsidR="000A4DA8" w:rsidRPr="0011303E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A4DA8" w:rsidRPr="0011303E" w:rsidRDefault="00843049">
          <w:pPr>
            <w:pStyle w:val="Zhlav"/>
            <w:rPr>
              <w:color w:val="FF0000"/>
            </w:rPr>
          </w:pPr>
          <w:r>
            <w:rPr>
              <w:noProof/>
              <w:color w:val="FF000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04E7FD" wp14:editId="7344C380">
                    <wp:simplePos x="0" y="0"/>
                    <wp:positionH relativeFrom="column">
                      <wp:posOffset>1301750</wp:posOffset>
                    </wp:positionH>
                    <wp:positionV relativeFrom="paragraph">
                      <wp:posOffset>862330</wp:posOffset>
                    </wp:positionV>
                    <wp:extent cx="1017905" cy="155575"/>
                    <wp:effectExtent l="0" t="0" r="4445" b="127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17905" cy="155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102.5pt;margin-top:67.9pt;width:80.1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" stroked="f"/>
                </w:pict>
              </mc:Fallback>
            </mc:AlternateContent>
          </w:r>
          <w:r w:rsidR="0011303E" w:rsidRPr="0011303E">
            <w:rPr>
              <w:noProof/>
              <w:color w:val="FF0000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300D099A" wp14:editId="7F361569">
                <wp:simplePos x="0" y="0"/>
                <wp:positionH relativeFrom="column">
                  <wp:posOffset>-647808</wp:posOffset>
                </wp:positionH>
                <wp:positionV relativeFrom="paragraph">
                  <wp:posOffset>8907</wp:posOffset>
                </wp:positionV>
                <wp:extent cx="7563569" cy="1673525"/>
                <wp:effectExtent l="19050" t="0" r="0" b="0"/>
                <wp:wrapNone/>
                <wp:docPr id="3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4DA8" w:rsidRDefault="000A4D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E6A"/>
    <w:multiLevelType w:val="hybridMultilevel"/>
    <w:tmpl w:val="2F486D1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8742DF"/>
    <w:multiLevelType w:val="hybridMultilevel"/>
    <w:tmpl w:val="350457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6E1571"/>
    <w:multiLevelType w:val="hybridMultilevel"/>
    <w:tmpl w:val="8AD0C652"/>
    <w:lvl w:ilvl="0" w:tplc="F140C692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32F"/>
    <w:multiLevelType w:val="hybridMultilevel"/>
    <w:tmpl w:val="4F88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E001C"/>
    <w:multiLevelType w:val="hybridMultilevel"/>
    <w:tmpl w:val="5C5CB3E0"/>
    <w:lvl w:ilvl="0" w:tplc="3D5AF6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6D4F4FD1"/>
    <w:multiLevelType w:val="hybridMultilevel"/>
    <w:tmpl w:val="B2284F7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EAC7C1D"/>
    <w:multiLevelType w:val="hybridMultilevel"/>
    <w:tmpl w:val="720E00CA"/>
    <w:lvl w:ilvl="0" w:tplc="040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6ECD1101"/>
    <w:multiLevelType w:val="hybridMultilevel"/>
    <w:tmpl w:val="4F060CFE"/>
    <w:lvl w:ilvl="0" w:tplc="6D98DD88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90841"/>
    <w:multiLevelType w:val="hybridMultilevel"/>
    <w:tmpl w:val="38903C9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22556"/>
    <w:rsid w:val="0006006E"/>
    <w:rsid w:val="000630A1"/>
    <w:rsid w:val="00070C88"/>
    <w:rsid w:val="00095A8D"/>
    <w:rsid w:val="000A4DA8"/>
    <w:rsid w:val="000B228A"/>
    <w:rsid w:val="000E42FE"/>
    <w:rsid w:val="0011303E"/>
    <w:rsid w:val="0012247F"/>
    <w:rsid w:val="00166EAC"/>
    <w:rsid w:val="00186809"/>
    <w:rsid w:val="001C450A"/>
    <w:rsid w:val="00227ED2"/>
    <w:rsid w:val="00232C66"/>
    <w:rsid w:val="002E1CCB"/>
    <w:rsid w:val="00311331"/>
    <w:rsid w:val="003174BD"/>
    <w:rsid w:val="003229DA"/>
    <w:rsid w:val="00391E8F"/>
    <w:rsid w:val="003A414F"/>
    <w:rsid w:val="003D2616"/>
    <w:rsid w:val="003D6B3D"/>
    <w:rsid w:val="004927DC"/>
    <w:rsid w:val="004945BA"/>
    <w:rsid w:val="004C4CED"/>
    <w:rsid w:val="004F3512"/>
    <w:rsid w:val="00501315"/>
    <w:rsid w:val="00595BD1"/>
    <w:rsid w:val="005A0D2F"/>
    <w:rsid w:val="005B7C6C"/>
    <w:rsid w:val="005E23C1"/>
    <w:rsid w:val="005E52E2"/>
    <w:rsid w:val="00615F92"/>
    <w:rsid w:val="006224B7"/>
    <w:rsid w:val="00635244"/>
    <w:rsid w:val="00647B7C"/>
    <w:rsid w:val="00677BDF"/>
    <w:rsid w:val="00692A56"/>
    <w:rsid w:val="00710D3F"/>
    <w:rsid w:val="00763CCD"/>
    <w:rsid w:val="007A0A91"/>
    <w:rsid w:val="007D512B"/>
    <w:rsid w:val="007E1845"/>
    <w:rsid w:val="008008CA"/>
    <w:rsid w:val="00825DB0"/>
    <w:rsid w:val="0083167B"/>
    <w:rsid w:val="00843049"/>
    <w:rsid w:val="008A3FDC"/>
    <w:rsid w:val="008D3936"/>
    <w:rsid w:val="00926A17"/>
    <w:rsid w:val="0097548A"/>
    <w:rsid w:val="00996B93"/>
    <w:rsid w:val="009A0C63"/>
    <w:rsid w:val="00A15E39"/>
    <w:rsid w:val="00A5701A"/>
    <w:rsid w:val="00A90FAC"/>
    <w:rsid w:val="00A93922"/>
    <w:rsid w:val="00A961F9"/>
    <w:rsid w:val="00AA2F4A"/>
    <w:rsid w:val="00AC051E"/>
    <w:rsid w:val="00AD4615"/>
    <w:rsid w:val="00AE202A"/>
    <w:rsid w:val="00B13CE2"/>
    <w:rsid w:val="00B77C1D"/>
    <w:rsid w:val="00B94098"/>
    <w:rsid w:val="00BD6C9D"/>
    <w:rsid w:val="00BE7DF2"/>
    <w:rsid w:val="00C25651"/>
    <w:rsid w:val="00C503B8"/>
    <w:rsid w:val="00C76AFD"/>
    <w:rsid w:val="00CA474A"/>
    <w:rsid w:val="00CE507A"/>
    <w:rsid w:val="00D3214A"/>
    <w:rsid w:val="00DF3005"/>
    <w:rsid w:val="00E1201F"/>
    <w:rsid w:val="00E121E1"/>
    <w:rsid w:val="00E4721D"/>
    <w:rsid w:val="00E559E4"/>
    <w:rsid w:val="00E55BBF"/>
    <w:rsid w:val="00E561D7"/>
    <w:rsid w:val="00E67925"/>
    <w:rsid w:val="00EA7461"/>
    <w:rsid w:val="00F1562B"/>
    <w:rsid w:val="00F35561"/>
    <w:rsid w:val="00F509CC"/>
    <w:rsid w:val="00F6227F"/>
    <w:rsid w:val="00FA368B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0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FED3-A06A-4BF0-9587-B00C3FE1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2018-07-25T08:56:00Z</dcterms:created>
  <dcterms:modified xsi:type="dcterms:W3CDTF">2018-07-25T08:56:00Z</dcterms:modified>
</cp:coreProperties>
</file>