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P-2018/089</w:t>
      </w:r>
    </w:p>
    <w:p w:rsidR="00074993" w:rsidRPr="007B6B27" w:rsidRDefault="00074993" w:rsidP="007B6B27">
      <w:pPr>
        <w:jc w:val="center"/>
        <w:rPr>
          <w:rFonts w:cs="Arial"/>
          <w:sz w:val="28"/>
        </w:rPr>
      </w:pP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zapsaná u MK ČR pod č.j.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B6B27" w:rsidP="007B6B27">
      <w:pPr>
        <w:jc w:val="center"/>
      </w:pPr>
      <w:r w:rsidRPr="007B6B27">
        <w:t>( dále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Středisko společných činností AV ČR v.v.i.</w:t>
      </w:r>
      <w:r w:rsidR="007B6B27" w:rsidRPr="007B6B27">
        <w:rPr>
          <w:b/>
        </w:rPr>
        <w:t xml:space="preserve">, </w:t>
      </w:r>
      <w:r>
        <w:rPr>
          <w:b/>
        </w:rPr>
        <w:t>Národní 1009/3, 11000 Praha 1</w:t>
      </w:r>
    </w:p>
    <w:p w:rsidR="007B6B27" w:rsidRPr="007B6B27" w:rsidRDefault="007B6B27" w:rsidP="007B6B27">
      <w:pPr>
        <w:jc w:val="center"/>
      </w:pPr>
      <w:r w:rsidRPr="007B6B27">
        <w:t>IČ:</w:t>
      </w:r>
      <w:r w:rsidR="00B943AA">
        <w:t>60457586</w:t>
      </w:r>
      <w:r w:rsidRPr="007B6B27">
        <w:t xml:space="preserve"> </w:t>
      </w:r>
      <w:r w:rsidR="00F72F4C">
        <w:t xml:space="preserve"> DIČ: CZ60457586</w:t>
      </w:r>
      <w:r w:rsidRPr="007B6B27">
        <w:t xml:space="preserve">   </w:t>
      </w:r>
    </w:p>
    <w:p w:rsidR="007B6B27" w:rsidRDefault="007B6B27" w:rsidP="007B6B27">
      <w:pPr>
        <w:jc w:val="center"/>
      </w:pPr>
      <w:r w:rsidRPr="007B6B27">
        <w:t xml:space="preserve">zastoupený/á: </w:t>
      </w:r>
      <w:r w:rsidR="00826799">
        <w:t>xxxxxxxxxxxx</w:t>
      </w:r>
      <w:bookmarkStart w:id="0" w:name="_GoBack"/>
      <w:bookmarkEnd w:id="0"/>
      <w:r w:rsidR="00F148BC">
        <w:t>, ředitel</w:t>
      </w:r>
    </w:p>
    <w:p w:rsidR="00F72F4C" w:rsidRPr="007B6B27" w:rsidRDefault="00F72F4C" w:rsidP="007B6B27">
      <w:pPr>
        <w:jc w:val="center"/>
      </w:pPr>
      <w:r>
        <w:t>zapsaná v rejstříku veřejných výzkumných institucí vedeném u MŠMT</w:t>
      </w:r>
    </w:p>
    <w:p w:rsidR="007B6B27" w:rsidRDefault="007B6B27" w:rsidP="007B6B27">
      <w:pPr>
        <w:jc w:val="center"/>
      </w:pPr>
      <w:r w:rsidRPr="007B6B27">
        <w:t>( dále jen 'nájemce')</w:t>
      </w:r>
    </w:p>
    <w:p w:rsidR="00074993" w:rsidRDefault="00074993" w:rsidP="007B6B27">
      <w:pPr>
        <w:jc w:val="center"/>
      </w:pP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074993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074993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074993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</w:t>
      </w:r>
      <w:r w:rsidR="00D73EBC">
        <w:rPr>
          <w:rFonts w:ascii="Arial Narrow" w:hAnsi="Arial Narrow"/>
        </w:rPr>
        <w:t> </w:t>
      </w:r>
      <w:r w:rsidRPr="00445CE7">
        <w:rPr>
          <w:rFonts w:ascii="Arial Narrow" w:hAnsi="Arial Narrow"/>
        </w:rPr>
        <w:t>příloze</w:t>
      </w:r>
      <w:r w:rsidR="00D73EBC">
        <w:rPr>
          <w:rFonts w:ascii="Arial Narrow" w:hAnsi="Arial Narrow"/>
        </w:rPr>
        <w:t>, tj. nejpozději do 20. 10. 2018</w:t>
      </w:r>
      <w:r w:rsidRPr="00445CE7">
        <w:rPr>
          <w:rFonts w:ascii="Arial Narrow" w:hAnsi="Arial Narrow"/>
        </w:rPr>
        <w:t>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Default="007B6B27" w:rsidP="00074993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DF6CB2" w:rsidRPr="00DF6CB2" w:rsidRDefault="00DF6CB2" w:rsidP="00074993">
      <w:pPr>
        <w:pStyle w:val="Odstavecseseznamem"/>
        <w:rPr>
          <w:rFonts w:ascii="Arial Narrow" w:hAnsi="Arial Narrow"/>
        </w:rPr>
      </w:pPr>
    </w:p>
    <w:p w:rsidR="00D73EBC" w:rsidRPr="006459CF" w:rsidRDefault="00F72F4C" w:rsidP="00074993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C76827">
        <w:rPr>
          <w:rFonts w:ascii="Arial Narrow" w:hAnsi="Arial Narrow"/>
          <w:sz w:val="22"/>
          <w:szCs w:val="22"/>
        </w:rPr>
        <w:t xml:space="preserve">Smluvní strany odchylně od ujednání bodu </w:t>
      </w:r>
      <w:r w:rsidR="00C76827" w:rsidRPr="00C76827">
        <w:rPr>
          <w:rFonts w:ascii="Arial Narrow" w:hAnsi="Arial Narrow"/>
          <w:sz w:val="22"/>
          <w:szCs w:val="22"/>
        </w:rPr>
        <w:t>IV. 20. Pravidel pronájmů sjednávají, že nájemce je oprávněn pořizovat fotografie, obrazové, zvukové či zvukově obrazové záznamy prostorů Rudolfina</w:t>
      </w:r>
      <w:r w:rsidR="00F148BC">
        <w:rPr>
          <w:rFonts w:ascii="Arial Narrow" w:hAnsi="Arial Narrow"/>
          <w:sz w:val="22"/>
          <w:szCs w:val="22"/>
        </w:rPr>
        <w:t xml:space="preserve"> (tzn</w:t>
      </w:r>
      <w:r w:rsidR="00C76827">
        <w:rPr>
          <w:rFonts w:ascii="Arial Narrow" w:hAnsi="Arial Narrow"/>
          <w:sz w:val="22"/>
          <w:szCs w:val="22"/>
        </w:rPr>
        <w:t>. prostor, které jsou předmětem nájmu</w:t>
      </w:r>
      <w:r w:rsidR="00D73EBC">
        <w:rPr>
          <w:rFonts w:ascii="Arial Narrow" w:hAnsi="Arial Narrow"/>
          <w:sz w:val="22"/>
          <w:szCs w:val="22"/>
        </w:rPr>
        <w:t xml:space="preserve"> podle této smlouvy</w:t>
      </w:r>
      <w:r w:rsidR="00C76827">
        <w:rPr>
          <w:rFonts w:ascii="Arial Narrow" w:hAnsi="Arial Narrow"/>
          <w:sz w:val="22"/>
          <w:szCs w:val="22"/>
        </w:rPr>
        <w:t>)</w:t>
      </w:r>
      <w:r w:rsidR="00D73EBC">
        <w:rPr>
          <w:rFonts w:ascii="Arial Narrow" w:hAnsi="Arial Narrow"/>
          <w:sz w:val="22"/>
          <w:szCs w:val="22"/>
        </w:rPr>
        <w:t xml:space="preserve"> </w:t>
      </w:r>
      <w:r w:rsidR="00C76827">
        <w:rPr>
          <w:rFonts w:ascii="Arial Narrow" w:hAnsi="Arial Narrow"/>
          <w:sz w:val="22"/>
          <w:szCs w:val="22"/>
        </w:rPr>
        <w:t xml:space="preserve"> a umístit tyto záznamy na internetové stránky nájemce a internetové stránky AV ČR za účelem informování </w:t>
      </w:r>
      <w:r w:rsidR="00F148BC">
        <w:rPr>
          <w:rFonts w:ascii="Arial Narrow" w:hAnsi="Arial Narrow"/>
          <w:sz w:val="22"/>
          <w:szCs w:val="22"/>
        </w:rPr>
        <w:t>o akci, k jejímuž konání</w:t>
      </w:r>
      <w:r w:rsidR="00C76827">
        <w:rPr>
          <w:rFonts w:ascii="Arial Narrow" w:hAnsi="Arial Narrow"/>
          <w:sz w:val="22"/>
          <w:szCs w:val="22"/>
        </w:rPr>
        <w:t xml:space="preserve"> se prostory pronajímají. Toto oprávnění se uděluje bezplatně. </w:t>
      </w:r>
    </w:p>
    <w:p w:rsidR="00445CE7" w:rsidRPr="006459CF" w:rsidRDefault="00445CE7" w:rsidP="00264DDB">
      <w:pPr>
        <w:pStyle w:val="Odstavecseseznamem"/>
        <w:rPr>
          <w:rFonts w:ascii="Arial Narrow" w:hAnsi="Arial Narrow"/>
          <w:sz w:val="14"/>
        </w:rPr>
      </w:pPr>
    </w:p>
    <w:p w:rsidR="007B6B27" w:rsidRDefault="00DF6CB2" w:rsidP="006459CF">
      <w:pPr>
        <w:ind w:left="709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6459CF">
        <w:rPr>
          <w:rFonts w:ascii="Arial Narrow" w:hAnsi="Arial Narrow"/>
        </w:rPr>
        <w:t xml:space="preserve">.    </w:t>
      </w:r>
      <w:r w:rsidR="00445CE7" w:rsidRPr="006459CF">
        <w:rPr>
          <w:rFonts w:ascii="Arial Narrow" w:hAnsi="Arial Narrow"/>
        </w:rPr>
        <w:t xml:space="preserve">Tato smlouva nabývá platnosti uzavřením a účinnosti uveřejněním v registru smluv podle zákona č. 340/2015 Sb., ve znění </w:t>
      </w:r>
      <w:r w:rsidR="006459CF">
        <w:rPr>
          <w:rFonts w:ascii="Arial Narrow" w:hAnsi="Arial Narrow"/>
        </w:rPr>
        <w:t xml:space="preserve"> </w:t>
      </w:r>
      <w:r w:rsidR="00445CE7" w:rsidRPr="006459CF">
        <w:rPr>
          <w:rFonts w:ascii="Arial Narrow" w:hAnsi="Arial Narrow"/>
        </w:rPr>
        <w:t>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6459CF" w:rsidRPr="006459CF" w:rsidRDefault="006459CF" w:rsidP="006459CF">
      <w:pPr>
        <w:ind w:left="709" w:hanging="425"/>
        <w:jc w:val="both"/>
        <w:rPr>
          <w:rFonts w:ascii="Arial Narrow" w:hAnsi="Arial Narrow"/>
        </w:rPr>
      </w:pP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074993" w:rsidRDefault="00074993" w:rsidP="007B6B27">
      <w:pPr>
        <w:rPr>
          <w:sz w:val="20"/>
        </w:rPr>
      </w:pPr>
    </w:p>
    <w:p w:rsidR="00074993" w:rsidRDefault="00074993" w:rsidP="007B6B27">
      <w:pPr>
        <w:rPr>
          <w:sz w:val="20"/>
        </w:rPr>
      </w:pPr>
    </w:p>
    <w:p w:rsidR="00074993" w:rsidRDefault="00074993" w:rsidP="007B6B27">
      <w:pPr>
        <w:rPr>
          <w:sz w:val="20"/>
        </w:rPr>
      </w:pPr>
    </w:p>
    <w:p w:rsidR="00074993" w:rsidRDefault="00074993" w:rsidP="007B6B27">
      <w:pPr>
        <w:rPr>
          <w:sz w:val="20"/>
        </w:rPr>
      </w:pPr>
    </w:p>
    <w:p w:rsidR="006459CF" w:rsidRPr="007B6B27" w:rsidRDefault="006459CF" w:rsidP="007B6B27"/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P-2018/089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</w:p>
        </w:tc>
        <w:tc>
          <w:tcPr>
            <w:tcW w:w="4394" w:type="dxa"/>
          </w:tcPr>
          <w:p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A25D99" w:rsidRPr="000E2B25" w:rsidRDefault="00A25D99" w:rsidP="00892513">
            <w:pPr>
              <w:rPr>
                <w:sz w:val="20"/>
              </w:rPr>
            </w:pPr>
          </w:p>
        </w:tc>
      </w:tr>
      <w:tr w:rsidR="00A25D99" w:rsidTr="000E2B25">
        <w:tc>
          <w:tcPr>
            <w:tcW w:w="3085" w:type="dxa"/>
          </w:tcPr>
          <w:p w:rsidR="00A25D99" w:rsidRPr="000E2B25" w:rsidRDefault="00EB76D3" w:rsidP="00074993">
            <w:pPr>
              <w:rPr>
                <w:sz w:val="20"/>
              </w:rPr>
            </w:pPr>
            <w:r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cateringu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2036 -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EB76D3">
            <w:pPr>
              <w:rPr>
                <w:sz w:val="20"/>
              </w:rPr>
            </w:pPr>
            <w:r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EB76D3">
            <w:pPr>
              <w:rPr>
                <w:sz w:val="20"/>
              </w:rPr>
            </w:pPr>
            <w:r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EB76D3">
            <w:pPr>
              <w:rPr>
                <w:sz w:val="20"/>
              </w:rPr>
            </w:pPr>
            <w:r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Úprava ceny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Vernisáž výstavy Republika československá 1918–1939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r w:rsidR="00EB76D3">
              <w:rPr>
                <w:sz w:val="20"/>
              </w:rPr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EB76D3" w:rsidP="00304616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sz w:val="20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EB76D3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sz w:val="20"/>
              </w:rPr>
              <w:t>xxxxx</w:t>
            </w:r>
          </w:p>
        </w:tc>
      </w:tr>
      <w:tr w:rsidR="00AF347B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60 000,00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518B"/>
    <w:rsid w:val="00016076"/>
    <w:rsid w:val="000207C6"/>
    <w:rsid w:val="00021BBB"/>
    <w:rsid w:val="000220CE"/>
    <w:rsid w:val="0003397A"/>
    <w:rsid w:val="000354A3"/>
    <w:rsid w:val="0005101B"/>
    <w:rsid w:val="00052185"/>
    <w:rsid w:val="00055005"/>
    <w:rsid w:val="000725C4"/>
    <w:rsid w:val="00074993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97AA5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459CF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603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6799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A7199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477E9"/>
    <w:rsid w:val="00B851DD"/>
    <w:rsid w:val="00B904B4"/>
    <w:rsid w:val="00B93143"/>
    <w:rsid w:val="00B943AA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7682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3EBC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6CB2"/>
    <w:rsid w:val="00DF7B65"/>
    <w:rsid w:val="00E000AD"/>
    <w:rsid w:val="00E0249C"/>
    <w:rsid w:val="00E14E8B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B76D3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48BC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72F4C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A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AA5"/>
    <w:rPr>
      <w:rFonts w:ascii="Segoe UI" w:hAnsi="Segoe UI" w:cs="Segoe UI"/>
      <w:sz w:val="18"/>
      <w:szCs w:val="18"/>
      <w:lang w:val="cs-CZ"/>
    </w:rPr>
  </w:style>
  <w:style w:type="paragraph" w:styleId="Normlnweb">
    <w:name w:val="Normal (Web)"/>
    <w:basedOn w:val="Normln"/>
    <w:uiPriority w:val="99"/>
    <w:semiHidden/>
    <w:unhideWhenUsed/>
    <w:rsid w:val="00C7682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5</cp:revision>
  <cp:lastPrinted>2018-04-18T11:52:00Z</cp:lastPrinted>
  <dcterms:created xsi:type="dcterms:W3CDTF">2018-07-16T09:35:00Z</dcterms:created>
  <dcterms:modified xsi:type="dcterms:W3CDTF">2018-07-18T09:55:00Z</dcterms:modified>
</cp:coreProperties>
</file>