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AD" w:rsidRPr="00C52DB0" w:rsidRDefault="00E552AD" w:rsidP="00DE605F">
      <w:r w:rsidRPr="00C52DB0">
        <w:rPr>
          <w:b/>
        </w:rPr>
        <w:t>Komerční banka, a.s.</w:t>
      </w:r>
      <w:r w:rsidRPr="00C52DB0">
        <w:t>, se sídlem Praha 1, Na Příkopě 33 čp. 969, PSČ 114 07, IČ: 45317054, zapsaná v obchodním rejstříku vedeném Městským soudem v Praze, oddíl B, vložka 1360</w:t>
      </w:r>
      <w:r w:rsidR="00966CF9" w:rsidRPr="00C52DB0">
        <w:t xml:space="preserve"> </w:t>
      </w:r>
      <w:r w:rsidRPr="00C52DB0">
        <w:t xml:space="preserve">(dále jen </w:t>
      </w:r>
      <w:r w:rsidR="00966CF9" w:rsidRPr="00C52DB0">
        <w:t>„</w:t>
      </w:r>
      <w:r w:rsidRPr="00C52DB0">
        <w:rPr>
          <w:b/>
        </w:rPr>
        <w:t>Banka</w:t>
      </w:r>
      <w:r w:rsidR="00966CF9" w:rsidRPr="00C52DB0">
        <w:t>“</w:t>
      </w:r>
      <w:r w:rsidRPr="00C52DB0">
        <w:t>)</w:t>
      </w:r>
    </w:p>
    <w:p w:rsidR="00DE0F26" w:rsidRPr="00DC1794" w:rsidRDefault="00DE0F26" w:rsidP="00DE605F"/>
    <w:p w:rsidR="00E552AD" w:rsidRPr="00DC1794" w:rsidRDefault="00966CF9" w:rsidP="00DE605F">
      <w:r w:rsidRPr="00DC1794">
        <w:t>a</w:t>
      </w:r>
    </w:p>
    <w:p w:rsidR="009D47D1" w:rsidRPr="00DC1794" w:rsidRDefault="009D47D1" w:rsidP="00DE605F"/>
    <w:p w:rsidR="000F3BCC" w:rsidRDefault="000F3BCC" w:rsidP="000F3BCC">
      <w:bookmarkStart w:id="0" w:name="hlava"/>
      <w:bookmarkEnd w:id="0"/>
      <w:r>
        <w:rPr>
          <w:b/>
        </w:rPr>
        <w:t>právnická osoba</w:t>
      </w:r>
      <w:r>
        <w:t xml:space="preserve"> (dále jen „</w:t>
      </w:r>
      <w:bookmarkStart w:id="1" w:name="hlava_osoba"/>
      <w:r w:rsidRPr="0040150E">
        <w:rPr>
          <w:b/>
        </w:rPr>
        <w:t>Klient</w:t>
      </w:r>
      <w:bookmarkEnd w:id="1"/>
      <w:r>
        <w:t>“)</w:t>
      </w:r>
    </w:p>
    <w:tbl>
      <w:tblPr>
        <w:tblStyle w:val="Mkatabulky"/>
        <w:tblW w:w="0" w:type="auto"/>
        <w:tblBorders>
          <w:insideH w:val="single" w:sz="4" w:space="0" w:color="808080"/>
          <w:insideV w:val="single" w:sz="4" w:space="0" w:color="808080"/>
        </w:tblBorders>
        <w:tblLook w:val="01E0"/>
      </w:tblPr>
      <w:tblGrid>
        <w:gridCol w:w="2802"/>
        <w:gridCol w:w="6977"/>
      </w:tblGrid>
      <w:tr w:rsidR="000F3BCC">
        <w:tc>
          <w:tcPr>
            <w:tcW w:w="2802" w:type="dxa"/>
            <w:vAlign w:val="center"/>
          </w:tcPr>
          <w:p w:rsidR="000F3BCC" w:rsidRDefault="000F3BCC" w:rsidP="000F3BCC">
            <w:pPr>
              <w:spacing w:before="40" w:after="40"/>
            </w:pPr>
            <w:r>
              <w:rPr>
                <w:sz w:val="16"/>
              </w:rPr>
              <w:t>Obchodní firma* / název**:</w:t>
            </w:r>
          </w:p>
        </w:tc>
        <w:tc>
          <w:tcPr>
            <w:tcW w:w="6977" w:type="dxa"/>
            <w:vAlign w:val="center"/>
          </w:tcPr>
          <w:p w:rsidR="000F3BCC" w:rsidRPr="0095284A" w:rsidRDefault="000F3BCC" w:rsidP="000F3BCC">
            <w:pPr>
              <w:spacing w:before="40" w:after="40"/>
              <w:rPr>
                <w:b/>
              </w:rPr>
            </w:pPr>
            <w:bookmarkStart w:id="2" w:name="jmpo"/>
            <w:bookmarkEnd w:id="2"/>
            <w:r>
              <w:rPr>
                <w:b/>
              </w:rPr>
              <w:t>Městské parkovací domy Mladá Boleslav s.r.o.</w:t>
            </w:r>
          </w:p>
        </w:tc>
      </w:tr>
      <w:tr w:rsidR="000F3BCC">
        <w:tc>
          <w:tcPr>
            <w:tcW w:w="2802" w:type="dxa"/>
            <w:vAlign w:val="center"/>
          </w:tcPr>
          <w:p w:rsidR="000F3BCC" w:rsidRDefault="000F3BCC" w:rsidP="000F3BCC">
            <w:pPr>
              <w:spacing w:before="40" w:after="40"/>
            </w:pPr>
            <w:r>
              <w:rPr>
                <w:sz w:val="16"/>
              </w:rPr>
              <w:t>Sídlo:</w:t>
            </w:r>
          </w:p>
        </w:tc>
        <w:tc>
          <w:tcPr>
            <w:tcW w:w="6977" w:type="dxa"/>
            <w:vAlign w:val="center"/>
          </w:tcPr>
          <w:p w:rsidR="000F3BCC" w:rsidRPr="0095284A" w:rsidRDefault="000F3BCC" w:rsidP="000F3BCC">
            <w:pPr>
              <w:spacing w:before="40" w:after="40"/>
              <w:rPr>
                <w:b/>
              </w:rPr>
            </w:pPr>
            <w:bookmarkStart w:id="3" w:name="sidlopo1"/>
            <w:bookmarkEnd w:id="3"/>
            <w:r>
              <w:rPr>
                <w:b/>
              </w:rPr>
              <w:t>Starofarní 152, 293 01 Mladá Boleslav</w:t>
            </w:r>
          </w:p>
        </w:tc>
      </w:tr>
      <w:tr w:rsidR="000F3BCC">
        <w:tc>
          <w:tcPr>
            <w:tcW w:w="2802" w:type="dxa"/>
            <w:vAlign w:val="center"/>
          </w:tcPr>
          <w:p w:rsidR="000F3BCC" w:rsidRDefault="000F3BCC" w:rsidP="000F3BCC">
            <w:pPr>
              <w:spacing w:before="40" w:after="40"/>
            </w:pPr>
            <w:r>
              <w:rPr>
                <w:sz w:val="16"/>
              </w:rPr>
              <w:t>IČ:</w:t>
            </w:r>
          </w:p>
        </w:tc>
        <w:tc>
          <w:tcPr>
            <w:tcW w:w="6977" w:type="dxa"/>
            <w:vAlign w:val="center"/>
          </w:tcPr>
          <w:p w:rsidR="000F3BCC" w:rsidRPr="0095284A" w:rsidRDefault="000F3BCC" w:rsidP="000F3BCC">
            <w:pPr>
              <w:spacing w:before="40" w:after="40"/>
              <w:rPr>
                <w:b/>
              </w:rPr>
            </w:pPr>
            <w:bookmarkStart w:id="4" w:name="icopo"/>
            <w:bookmarkEnd w:id="4"/>
            <w:r>
              <w:rPr>
                <w:b/>
              </w:rPr>
              <w:t>27880834</w:t>
            </w:r>
          </w:p>
        </w:tc>
      </w:tr>
      <w:tr w:rsidR="000F3BCC">
        <w:tc>
          <w:tcPr>
            <w:tcW w:w="2802" w:type="dxa"/>
            <w:vAlign w:val="center"/>
          </w:tcPr>
          <w:p w:rsidR="000F3BCC" w:rsidRDefault="000F3BCC" w:rsidP="000F3BCC">
            <w:pPr>
              <w:spacing w:before="40" w:after="40"/>
            </w:pPr>
            <w:r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6977" w:type="dxa"/>
            <w:vAlign w:val="center"/>
          </w:tcPr>
          <w:p w:rsidR="000F3BCC" w:rsidRPr="0095284A" w:rsidRDefault="000F3BCC" w:rsidP="000F3BCC">
            <w:pPr>
              <w:spacing w:before="40" w:after="40"/>
              <w:rPr>
                <w:b/>
              </w:rPr>
            </w:pPr>
            <w:bookmarkStart w:id="5" w:name="spis"/>
            <w:bookmarkEnd w:id="5"/>
            <w:r>
              <w:rPr>
                <w:b/>
              </w:rPr>
              <w:t xml:space="preserve">Společnost je zapsána v obchodním rejstříku vedeném u Městského soudu v </w:t>
            </w:r>
            <w:proofErr w:type="gramStart"/>
            <w:r>
              <w:rPr>
                <w:b/>
              </w:rPr>
              <w:t>Praze , oddíl</w:t>
            </w:r>
            <w:proofErr w:type="gramEnd"/>
            <w:r>
              <w:rPr>
                <w:b/>
              </w:rPr>
              <w:t xml:space="preserve"> C vložka 123806</w:t>
            </w:r>
          </w:p>
        </w:tc>
      </w:tr>
    </w:tbl>
    <w:p w:rsidR="000F3BCC" w:rsidRDefault="000F3BCC" w:rsidP="000F3BCC">
      <w:pPr>
        <w:rPr>
          <w:sz w:val="16"/>
        </w:rPr>
      </w:pPr>
      <w:r>
        <w:rPr>
          <w:sz w:val="16"/>
        </w:rPr>
        <w:t>*je-li Klient zapsán v obchodním rejstříku; **není-li Klient zapsán v obchodním rejstříku</w:t>
      </w:r>
    </w:p>
    <w:p w:rsidR="000F3BCC" w:rsidRDefault="000F3BCC" w:rsidP="000F3BCC"/>
    <w:p w:rsidR="00966CF9" w:rsidRPr="00831566" w:rsidRDefault="009D47D1" w:rsidP="00DE605F">
      <w:r w:rsidRPr="00831566">
        <w:t xml:space="preserve">uzavírají tento dodatek </w:t>
      </w:r>
      <w:r w:rsidR="00A56AF0" w:rsidRPr="00831566">
        <w:t xml:space="preserve">(dále jen </w:t>
      </w:r>
      <w:r w:rsidR="00DE605F">
        <w:t>„</w:t>
      </w:r>
      <w:r w:rsidR="00A56AF0" w:rsidRPr="00831566">
        <w:rPr>
          <w:b/>
        </w:rPr>
        <w:t>Dodatek</w:t>
      </w:r>
      <w:r w:rsidR="00A56AF0" w:rsidRPr="00831566">
        <w:t xml:space="preserve">“) </w:t>
      </w:r>
      <w:r w:rsidR="009A13EE" w:rsidRPr="00831566">
        <w:t xml:space="preserve">k(e) </w:t>
      </w:r>
      <w:r w:rsidR="000F3BCC">
        <w:t>Univerzální smlouvě o předávání hotovosti v obalech</w:t>
      </w:r>
      <w:r w:rsidR="00337F97" w:rsidRPr="00831566">
        <w:t xml:space="preserve"> </w:t>
      </w:r>
      <w:r w:rsidR="009A13EE" w:rsidRPr="00831566">
        <w:t xml:space="preserve">uzavřené dne </w:t>
      </w:r>
      <w:proofErr w:type="gramStart"/>
      <w:r w:rsidR="000F3BCC">
        <w:rPr>
          <w:b/>
        </w:rPr>
        <w:t>04.02.2010</w:t>
      </w:r>
      <w:proofErr w:type="gramEnd"/>
      <w:r w:rsidR="00AA2761" w:rsidRPr="00831566">
        <w:t xml:space="preserve"> </w:t>
      </w:r>
      <w:r w:rsidR="009A13EE" w:rsidRPr="00831566">
        <w:t>(dále jen „</w:t>
      </w:r>
      <w:r w:rsidR="009A13EE" w:rsidRPr="00831566">
        <w:rPr>
          <w:b/>
        </w:rPr>
        <w:t>Smlouva</w:t>
      </w:r>
      <w:r w:rsidR="009A13EE" w:rsidRPr="00831566">
        <w:t>“)</w:t>
      </w:r>
      <w:r w:rsidR="00A64BE0" w:rsidRPr="00831566">
        <w:t>.</w:t>
      </w:r>
    </w:p>
    <w:p w:rsidR="009D47D1" w:rsidRPr="00831566" w:rsidRDefault="009D47D1" w:rsidP="00DE605F"/>
    <w:p w:rsidR="00A56AF0" w:rsidRPr="00DE605F" w:rsidRDefault="00A56AF0" w:rsidP="004B4293">
      <w:pPr>
        <w:pStyle w:val="Nadpis1"/>
      </w:pPr>
    </w:p>
    <w:p w:rsidR="003F02E0" w:rsidRPr="000F3BCC" w:rsidRDefault="00AA72BF" w:rsidP="000F3BCC">
      <w:pPr>
        <w:spacing w:after="120"/>
        <w:rPr>
          <w:rFonts w:cs="Arial"/>
          <w:szCs w:val="18"/>
        </w:rPr>
      </w:pPr>
      <w:r w:rsidRPr="00831566">
        <w:rPr>
          <w:rFonts w:cs="Arial"/>
          <w:szCs w:val="18"/>
        </w:rPr>
        <w:t>S</w:t>
      </w:r>
      <w:r w:rsidR="003E32B9" w:rsidRPr="00831566">
        <w:rPr>
          <w:rFonts w:cs="Arial"/>
          <w:szCs w:val="18"/>
        </w:rPr>
        <w:t>mluvní strany se dohodly na níže uvedených změnách Smlouvy</w:t>
      </w:r>
      <w:r w:rsidR="009D47D1" w:rsidRPr="00831566">
        <w:rPr>
          <w:rFonts w:cs="Arial"/>
          <w:szCs w:val="18"/>
        </w:rPr>
        <w:t>:</w:t>
      </w:r>
      <w:bookmarkStart w:id="6" w:name="sml_1"/>
      <w:r w:rsidR="003F02E0" w:rsidRPr="00DE605F">
        <w:rPr>
          <w:vanish/>
          <w:color w:val="FF0000"/>
          <w:sz w:val="16"/>
          <w:szCs w:val="16"/>
        </w:rPr>
        <w:t>[alternativa Dodatku</w:t>
      </w:r>
      <w:r w:rsidR="003F02E0">
        <w:rPr>
          <w:vanish/>
          <w:color w:val="FF0000"/>
          <w:sz w:val="16"/>
          <w:szCs w:val="16"/>
        </w:rPr>
        <w:t xml:space="preserve"> ke Smlouvě o zúčtování hotovosti zpracované bezpečnostní agenturou v návaznosti na změny vycházející ze zákona č. 136/2011 Sb. ]</w:t>
      </w:r>
    </w:p>
    <w:p w:rsidR="003F02E0" w:rsidRPr="000F3BCC" w:rsidRDefault="003F02E0" w:rsidP="000F3BCC">
      <w:pPr>
        <w:spacing w:after="120"/>
        <w:ind w:left="360"/>
        <w:rPr>
          <w:b/>
          <w:vanish/>
        </w:rPr>
      </w:pPr>
    </w:p>
    <w:p w:rsidR="003F02E0" w:rsidRPr="000F3BCC" w:rsidRDefault="003F02E0" w:rsidP="003F02E0">
      <w:pPr>
        <w:rPr>
          <w:b/>
          <w:vanish/>
          <w:color w:val="FF0000"/>
          <w:sz w:val="16"/>
          <w:szCs w:val="16"/>
        </w:rPr>
      </w:pPr>
      <w:bookmarkStart w:id="7" w:name="sml_2"/>
      <w:bookmarkEnd w:id="6"/>
      <w:r w:rsidRPr="000F3BCC">
        <w:rPr>
          <w:b/>
          <w:vanish/>
          <w:color w:val="FF0000"/>
          <w:sz w:val="16"/>
          <w:szCs w:val="16"/>
        </w:rPr>
        <w:t xml:space="preserve">[alternativa </w:t>
      </w:r>
      <w:r w:rsidR="007714E2" w:rsidRPr="000F3BCC">
        <w:rPr>
          <w:b/>
          <w:vanish/>
          <w:color w:val="FF0000"/>
          <w:sz w:val="16"/>
          <w:szCs w:val="16"/>
        </w:rPr>
        <w:t xml:space="preserve">Dodatku ke Smlouvě o užívání nočního trezoru a zúčtování hotovosti zpracované bezpečnostní agenturou v návaznosti na změny vycházející ze zákona č. 136/2011 </w:t>
      </w:r>
      <w:r w:rsidRPr="000F3BCC">
        <w:rPr>
          <w:b/>
          <w:vanish/>
          <w:color w:val="FF0000"/>
          <w:sz w:val="16"/>
          <w:szCs w:val="16"/>
        </w:rPr>
        <w:t>Sb. ]</w:t>
      </w:r>
    </w:p>
    <w:p w:rsidR="003F02E0" w:rsidRPr="000F3BCC" w:rsidRDefault="000F3BCC" w:rsidP="003F02E0">
      <w:pPr>
        <w:rPr>
          <w:b/>
          <w:vanish/>
          <w:color w:val="FF0000"/>
          <w:sz w:val="16"/>
          <w:szCs w:val="16"/>
        </w:rPr>
      </w:pPr>
      <w:bookmarkStart w:id="8" w:name="sml_3"/>
      <w:bookmarkEnd w:id="7"/>
      <w:r w:rsidRPr="000F3BCC">
        <w:rPr>
          <w:b/>
          <w:vanish/>
          <w:color w:val="FF0000"/>
          <w:sz w:val="16"/>
          <w:szCs w:val="16"/>
        </w:rPr>
        <w:t xml:space="preserve"> </w:t>
      </w:r>
      <w:r w:rsidR="003F02E0" w:rsidRPr="000F3BCC">
        <w:rPr>
          <w:b/>
          <w:vanish/>
          <w:color w:val="FF0000"/>
          <w:sz w:val="16"/>
          <w:szCs w:val="16"/>
        </w:rPr>
        <w:t xml:space="preserve">[alternativa </w:t>
      </w:r>
      <w:r w:rsidR="007714E2" w:rsidRPr="000F3BCC">
        <w:rPr>
          <w:b/>
          <w:vanish/>
          <w:color w:val="FF0000"/>
          <w:sz w:val="16"/>
          <w:szCs w:val="16"/>
        </w:rPr>
        <w:t xml:space="preserve">Dodatku ke Smlouvě o zúčtování hotovosti zpracované bezpečnostní agenturou – přímý vztah v návaznosti na změny vycházející ze zákona č. 136/2011 </w:t>
      </w:r>
      <w:r w:rsidR="003F02E0" w:rsidRPr="000F3BCC">
        <w:rPr>
          <w:b/>
          <w:vanish/>
          <w:color w:val="FF0000"/>
          <w:sz w:val="16"/>
          <w:szCs w:val="16"/>
        </w:rPr>
        <w:t>Sb. ]</w:t>
      </w:r>
    </w:p>
    <w:p w:rsidR="003F02E0" w:rsidRPr="000F3BCC" w:rsidRDefault="000F3BCC" w:rsidP="003F02E0">
      <w:pPr>
        <w:rPr>
          <w:b/>
          <w:vanish/>
          <w:color w:val="FF0000"/>
          <w:sz w:val="16"/>
          <w:szCs w:val="16"/>
        </w:rPr>
      </w:pPr>
      <w:bookmarkStart w:id="9" w:name="sml_4"/>
      <w:bookmarkEnd w:id="8"/>
      <w:r w:rsidRPr="000F3BCC">
        <w:rPr>
          <w:b/>
          <w:vanish/>
          <w:color w:val="FF0000"/>
          <w:sz w:val="16"/>
          <w:szCs w:val="16"/>
        </w:rPr>
        <w:t xml:space="preserve"> </w:t>
      </w:r>
      <w:r w:rsidR="003F02E0" w:rsidRPr="000F3BCC">
        <w:rPr>
          <w:b/>
          <w:vanish/>
          <w:color w:val="FF0000"/>
          <w:sz w:val="16"/>
          <w:szCs w:val="16"/>
        </w:rPr>
        <w:t>[alternativa Dodatku ke Smlouvě o předávání hotovosti v uzavřených obalech (pro klienty ČNB) v návaznosti na změny vycházející ze zákona č. 136/2011 Sb. ]</w:t>
      </w:r>
    </w:p>
    <w:p w:rsidR="003F02E0" w:rsidRPr="000F3BCC" w:rsidRDefault="000F3BCC" w:rsidP="003F02E0">
      <w:pPr>
        <w:rPr>
          <w:b/>
          <w:vanish/>
          <w:color w:val="FF0000"/>
          <w:sz w:val="16"/>
          <w:szCs w:val="16"/>
        </w:rPr>
      </w:pPr>
      <w:bookmarkStart w:id="10" w:name="sml_5"/>
      <w:bookmarkEnd w:id="9"/>
      <w:r w:rsidRPr="000F3BCC">
        <w:rPr>
          <w:b/>
          <w:vanish/>
          <w:color w:val="FF0000"/>
          <w:sz w:val="16"/>
          <w:szCs w:val="16"/>
        </w:rPr>
        <w:t xml:space="preserve"> </w:t>
      </w:r>
      <w:r w:rsidR="003F02E0" w:rsidRPr="000F3BCC">
        <w:rPr>
          <w:b/>
          <w:vanish/>
          <w:color w:val="FF0000"/>
          <w:sz w:val="16"/>
          <w:szCs w:val="16"/>
        </w:rPr>
        <w:t>[alternativa Dodatku ke Smlouvě o užívání nočního trezoru (pro klienty ČNB) v návaznosti na změny vycházející ze zákona č. 136/2011 Sb. ]</w:t>
      </w:r>
    </w:p>
    <w:p w:rsidR="003F02E0" w:rsidRPr="000F3BCC" w:rsidRDefault="000F3BCC" w:rsidP="003F02E0">
      <w:pPr>
        <w:rPr>
          <w:b/>
          <w:vanish/>
          <w:color w:val="FF0000"/>
          <w:sz w:val="16"/>
          <w:szCs w:val="16"/>
        </w:rPr>
      </w:pPr>
      <w:bookmarkStart w:id="11" w:name="sml_6"/>
      <w:bookmarkEnd w:id="10"/>
      <w:r w:rsidRPr="000F3BCC">
        <w:rPr>
          <w:b/>
          <w:vanish/>
          <w:color w:val="FF0000"/>
          <w:sz w:val="16"/>
          <w:szCs w:val="16"/>
        </w:rPr>
        <w:t xml:space="preserve"> </w:t>
      </w:r>
      <w:r w:rsidR="003F02E0" w:rsidRPr="000F3BCC">
        <w:rPr>
          <w:b/>
          <w:vanish/>
          <w:color w:val="FF0000"/>
          <w:sz w:val="16"/>
          <w:szCs w:val="16"/>
        </w:rPr>
        <w:t>[alternativa Dodatku k Univerzální smlouvě o předávání hotovosti v obalech v návaznosti na změny vycházející ze zákona č. 136/2011 Sb. ]</w:t>
      </w:r>
    </w:p>
    <w:p w:rsidR="00A56AF0" w:rsidRPr="000F3BCC" w:rsidRDefault="003D6806" w:rsidP="000F3BCC">
      <w:pPr>
        <w:rPr>
          <w:b/>
          <w:vanish/>
          <w:color w:val="FF0000"/>
          <w:sz w:val="16"/>
          <w:szCs w:val="16"/>
        </w:rPr>
      </w:pPr>
      <w:bookmarkStart w:id="12" w:name="var2"/>
      <w:bookmarkEnd w:id="11"/>
      <w:r w:rsidRPr="000F3BCC">
        <w:rPr>
          <w:b/>
          <w:vanish/>
          <w:color w:val="FF0000"/>
          <w:sz w:val="16"/>
          <w:szCs w:val="16"/>
        </w:rPr>
        <w:t xml:space="preserve">[alternativa </w:t>
      </w:r>
      <w:r w:rsidR="00EB56B0" w:rsidRPr="000F3BCC">
        <w:rPr>
          <w:b/>
          <w:vanish/>
          <w:color w:val="FF0000"/>
          <w:sz w:val="16"/>
          <w:szCs w:val="16"/>
        </w:rPr>
        <w:t>Dodatku</w:t>
      </w:r>
      <w:r w:rsidR="007D3F02" w:rsidRPr="000F3BCC">
        <w:rPr>
          <w:b/>
          <w:vanish/>
          <w:color w:val="FF0000"/>
          <w:sz w:val="16"/>
          <w:szCs w:val="16"/>
        </w:rPr>
        <w:t>, který</w:t>
      </w:r>
      <w:r w:rsidR="00DF5380" w:rsidRPr="000F3BCC">
        <w:rPr>
          <w:b/>
          <w:vanish/>
          <w:color w:val="FF0000"/>
          <w:sz w:val="16"/>
          <w:szCs w:val="16"/>
        </w:rPr>
        <w:t xml:space="preserve"> doplňuje stávající znění některého článku</w:t>
      </w:r>
      <w:r w:rsidR="007D3F02" w:rsidRPr="000F3BCC">
        <w:rPr>
          <w:b/>
          <w:vanish/>
          <w:color w:val="FF0000"/>
          <w:sz w:val="16"/>
          <w:szCs w:val="16"/>
        </w:rPr>
        <w:t xml:space="preserve"> Smlouvy</w:t>
      </w:r>
      <w:r w:rsidRPr="000F3BCC">
        <w:rPr>
          <w:b/>
          <w:vanish/>
          <w:color w:val="FF0000"/>
          <w:sz w:val="16"/>
          <w:szCs w:val="16"/>
        </w:rPr>
        <w:t>]</w:t>
      </w:r>
    </w:p>
    <w:p w:rsidR="004A133C" w:rsidRPr="000F3BCC" w:rsidRDefault="000F3BCC" w:rsidP="00DE605F">
      <w:pPr>
        <w:rPr>
          <w:b/>
          <w:vanish/>
          <w:color w:val="FF0000"/>
          <w:sz w:val="16"/>
          <w:szCs w:val="16"/>
        </w:rPr>
      </w:pPr>
      <w:bookmarkStart w:id="13" w:name="var3"/>
      <w:bookmarkEnd w:id="12"/>
      <w:r w:rsidRPr="000F3BCC">
        <w:rPr>
          <w:b/>
          <w:vanish/>
          <w:color w:val="FF0000"/>
          <w:sz w:val="16"/>
          <w:szCs w:val="16"/>
        </w:rPr>
        <w:t xml:space="preserve"> </w:t>
      </w:r>
      <w:r w:rsidR="004A133C" w:rsidRPr="000F3BCC">
        <w:rPr>
          <w:b/>
          <w:vanish/>
          <w:color w:val="FF0000"/>
          <w:sz w:val="16"/>
          <w:szCs w:val="16"/>
        </w:rPr>
        <w:t xml:space="preserve">[alternativa </w:t>
      </w:r>
      <w:r w:rsidR="00EB56B0" w:rsidRPr="000F3BCC">
        <w:rPr>
          <w:b/>
          <w:vanish/>
          <w:color w:val="FF0000"/>
          <w:sz w:val="16"/>
          <w:szCs w:val="16"/>
        </w:rPr>
        <w:t>Dodatku</w:t>
      </w:r>
      <w:r w:rsidR="007D3F02" w:rsidRPr="000F3BCC">
        <w:rPr>
          <w:b/>
          <w:vanish/>
          <w:color w:val="FF0000"/>
          <w:sz w:val="16"/>
          <w:szCs w:val="16"/>
        </w:rPr>
        <w:t>, který</w:t>
      </w:r>
      <w:r w:rsidR="00F9196D" w:rsidRPr="000F3BCC">
        <w:rPr>
          <w:b/>
          <w:vanish/>
          <w:color w:val="FF0000"/>
          <w:sz w:val="16"/>
          <w:szCs w:val="16"/>
        </w:rPr>
        <w:t xml:space="preserve"> nahrazuje stávající znění některého článku</w:t>
      </w:r>
      <w:r w:rsidR="007D3F02" w:rsidRPr="000F3BCC">
        <w:rPr>
          <w:b/>
          <w:vanish/>
          <w:color w:val="FF0000"/>
          <w:sz w:val="16"/>
          <w:szCs w:val="16"/>
        </w:rPr>
        <w:t xml:space="preserve"> Smlouvy</w:t>
      </w:r>
      <w:r w:rsidR="004A133C" w:rsidRPr="000F3BCC">
        <w:rPr>
          <w:b/>
          <w:vanish/>
          <w:color w:val="FF0000"/>
          <w:sz w:val="16"/>
          <w:szCs w:val="16"/>
        </w:rPr>
        <w:t>]</w:t>
      </w:r>
    </w:p>
    <w:p w:rsidR="008734FE" w:rsidRPr="00DE605F" w:rsidRDefault="004A133C" w:rsidP="003F02E0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</w:pPr>
      <w:r w:rsidRPr="000F3BCC">
        <w:rPr>
          <w:b/>
        </w:rPr>
        <w:t xml:space="preserve">Stávající znění článku </w:t>
      </w:r>
      <w:r w:rsidR="000F3BCC" w:rsidRPr="000F3BCC">
        <w:rPr>
          <w:b/>
        </w:rPr>
        <w:t>9</w:t>
      </w:r>
      <w:r w:rsidRPr="000F3BCC">
        <w:rPr>
          <w:b/>
        </w:rPr>
        <w:t xml:space="preserve"> </w:t>
      </w:r>
      <w:r w:rsidR="00B20B69" w:rsidRPr="000F3BCC">
        <w:rPr>
          <w:b/>
        </w:rPr>
        <w:t xml:space="preserve">Smlouvy </w:t>
      </w:r>
      <w:r w:rsidRPr="000F3BCC">
        <w:rPr>
          <w:b/>
        </w:rPr>
        <w:t>se ruší a nahrazuje následujícím zněním</w:t>
      </w:r>
      <w:r w:rsidR="008734FE" w:rsidRPr="000F3BCC">
        <w:rPr>
          <w:b/>
        </w:rPr>
        <w:t>:</w:t>
      </w:r>
    </w:p>
    <w:p w:rsidR="00D85AFF" w:rsidRDefault="000F3BCC" w:rsidP="00DE605F">
      <w:pPr>
        <w:spacing w:after="120"/>
        <w:ind w:left="284"/>
      </w:pPr>
      <w:bookmarkStart w:id="14" w:name="clanek3text"/>
      <w:bookmarkEnd w:id="14"/>
      <w:r>
        <w:t xml:space="preserve">Za převzaté obaly je klient povinen uhradit Bance cenu dle Sazebníku. Cena je splatná při převzetí obalů nebo </w:t>
      </w:r>
      <w:proofErr w:type="gramStart"/>
      <w:r>
        <w:t>předmětů.Za</w:t>
      </w:r>
      <w:proofErr w:type="gramEnd"/>
      <w:r>
        <w:t xml:space="preserve"> každý nepoškozený vratný obal poskytnutý Klientovi Bankou a předaný zpět Bance dle této Smlouvy, poskytne Banka Klientovi obal nový. Za zpracování vkladu mincí a smíšeného vkladu bankovek a mincí v Kč předaného uzavřeným obalem a nočním trezorem (v případě, že vklad obsahuje více než 50 kusů mincí)zaplatí klient </w:t>
      </w:r>
      <w:r w:rsidR="0038656B" w:rsidRPr="00831566">
        <w:t xml:space="preserve"> </w:t>
      </w:r>
    </w:p>
    <w:p w:rsidR="000F3BCC" w:rsidRDefault="000F3BCC" w:rsidP="00DE605F">
      <w:pPr>
        <w:spacing w:after="120"/>
        <w:ind w:left="284"/>
        <w:rPr>
          <w:b/>
        </w:rPr>
      </w:pPr>
      <w:r w:rsidRPr="000F3BCC">
        <w:rPr>
          <w:b/>
        </w:rPr>
        <w:t xml:space="preserve">Individuální sjednanou </w:t>
      </w:r>
      <w:proofErr w:type="gramStart"/>
      <w:r w:rsidRPr="000F3BCC">
        <w:rPr>
          <w:b/>
        </w:rPr>
        <w:t>cenu : 0,5%</w:t>
      </w:r>
      <w:proofErr w:type="gramEnd"/>
      <w:r w:rsidRPr="000F3BCC">
        <w:rPr>
          <w:b/>
        </w:rPr>
        <w:t xml:space="preserve"> z celkové vkládané částky min. 35,- Kč</w:t>
      </w:r>
      <w:r>
        <w:rPr>
          <w:b/>
        </w:rPr>
        <w:t>.</w:t>
      </w:r>
    </w:p>
    <w:p w:rsidR="000F3BCC" w:rsidRPr="000F3BCC" w:rsidRDefault="000F3BCC" w:rsidP="00DE605F">
      <w:pPr>
        <w:spacing w:after="120"/>
        <w:ind w:left="284"/>
      </w:pPr>
      <w:r>
        <w:t>Banka je oprávněna provádět úhrady cen dle této Smlouvy na vrub Účtu, a to bez dalšího souhlasu Klienta.</w:t>
      </w:r>
    </w:p>
    <w:bookmarkEnd w:id="13"/>
    <w:p w:rsidR="00A56AF0" w:rsidRPr="00DE605F" w:rsidRDefault="00A56AF0" w:rsidP="004B4293">
      <w:pPr>
        <w:pStyle w:val="Nadpis1"/>
      </w:pPr>
    </w:p>
    <w:p w:rsidR="00836378" w:rsidRPr="00D85AFF" w:rsidRDefault="00836378" w:rsidP="004B4293">
      <w:pPr>
        <w:pStyle w:val="Nadpis2"/>
      </w:pPr>
      <w:r w:rsidRPr="00EF6720">
        <w:t xml:space="preserve">Podpisem tohoto </w:t>
      </w:r>
      <w:r>
        <w:t>D</w:t>
      </w:r>
      <w:r w:rsidRPr="00EF6720">
        <w:t>odatku Klient potvrzuje, že se seznámil se Všeobecnými podmínkami</w:t>
      </w:r>
      <w:r w:rsidR="00DE605F">
        <w:t>, příslušnými Oznámeními a Sazebníkem (v rozsahu relevantním ke Smlouvě)</w:t>
      </w:r>
      <w:r w:rsidRPr="00EF6720">
        <w:t xml:space="preserve"> ve znění účinném v den podpisu tohoto </w:t>
      </w:r>
      <w:r>
        <w:t>D</w:t>
      </w:r>
      <w:r w:rsidRPr="00EF6720">
        <w:t xml:space="preserve">odatku a souhlasí s nimi. Článek </w:t>
      </w:r>
      <w:r w:rsidR="00DE605F">
        <w:t>28</w:t>
      </w:r>
      <w:r w:rsidRPr="00EF6720">
        <w:t xml:space="preserve"> Všeobecných podmínek upravuje potřebné souhlasy Klienta, zejména souhlas se zpracováním Osobních údajů. Klient je oprávněn tyto souhlasy</w:t>
      </w:r>
      <w:r w:rsidRPr="00303C00">
        <w:t xml:space="preserve"> kdykoli písemně odvolat.</w:t>
      </w:r>
    </w:p>
    <w:p w:rsidR="00AA72BF" w:rsidRDefault="00AA72BF" w:rsidP="004B4293">
      <w:pPr>
        <w:pStyle w:val="Nadpis2"/>
        <w:rPr>
          <w:rFonts w:cs="Arial"/>
        </w:rPr>
      </w:pPr>
      <w:r>
        <w:rPr>
          <w:rFonts w:cs="Arial"/>
        </w:rPr>
        <w:t>Ostatní ustanovení Smlouvy zůstávají beze změny.</w:t>
      </w:r>
    </w:p>
    <w:p w:rsidR="00D808E9" w:rsidRPr="00C52DB0" w:rsidRDefault="00D808E9" w:rsidP="004B4293">
      <w:pPr>
        <w:pStyle w:val="Nadpis2"/>
      </w:pPr>
      <w:r>
        <w:rPr>
          <w:rFonts w:cs="Arial"/>
        </w:rPr>
        <w:t>Dodatek se uzavírá</w:t>
      </w:r>
      <w:r w:rsidRPr="00C52DB0">
        <w:t xml:space="preserve"> na dobu </w:t>
      </w:r>
      <w:r w:rsidR="000F3BCC">
        <w:t>neurčitou</w:t>
      </w:r>
      <w:r w:rsidRPr="006E3A92">
        <w:t>.</w:t>
      </w:r>
      <w:r>
        <w:t xml:space="preserve"> </w:t>
      </w:r>
      <w:r>
        <w:rPr>
          <w:rFonts w:cs="Arial"/>
        </w:rPr>
        <w:t>Dodatek</w:t>
      </w:r>
      <w:r w:rsidRPr="00C52DB0">
        <w:t xml:space="preserve"> nabývá platnosti dnem uzavření a účinnosti dnem </w:t>
      </w:r>
      <w:proofErr w:type="gramStart"/>
      <w:r w:rsidR="000F3BCC">
        <w:rPr>
          <w:b/>
          <w:highlight w:val="lightGray"/>
        </w:rPr>
        <w:t>01.01.2012</w:t>
      </w:r>
      <w:proofErr w:type="gramEnd"/>
      <w:r w:rsidRPr="006E3A92">
        <w:t>.</w:t>
      </w:r>
      <w:r>
        <w:t xml:space="preserve"> </w:t>
      </w:r>
    </w:p>
    <w:p w:rsidR="00E552AD" w:rsidRPr="00C52DB0" w:rsidRDefault="00E552AD" w:rsidP="00DE605F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820"/>
      </w:tblGrid>
      <w:tr w:rsidR="000F3B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</w:tcPr>
          <w:p w:rsidR="000F3BCC" w:rsidRDefault="000F3BCC" w:rsidP="000F3BCC">
            <w:pPr>
              <w:rPr>
                <w:sz w:val="8"/>
              </w:rPr>
            </w:pPr>
            <w:bookmarkStart w:id="15" w:name="p1"/>
            <w:bookmarkStart w:id="16" w:name="p2"/>
            <w:bookmarkStart w:id="17" w:name="podpisy"/>
            <w:bookmarkEnd w:id="15"/>
            <w:bookmarkEnd w:id="16"/>
          </w:p>
          <w:p w:rsidR="000F3BCC" w:rsidRDefault="000F3BCC" w:rsidP="000F3BCC">
            <w:r>
              <w:t xml:space="preserve">V </w:t>
            </w:r>
            <w:bookmarkStart w:id="18" w:name="v"/>
            <w:bookmarkEnd w:id="18"/>
            <w:r>
              <w:t xml:space="preserve">Mladé Boleslavi dne </w:t>
            </w:r>
            <w:bookmarkStart w:id="19" w:name="dne"/>
            <w:bookmarkEnd w:id="19"/>
            <w:proofErr w:type="gramStart"/>
            <w:r>
              <w:t>01.01.2012</w:t>
            </w:r>
            <w:proofErr w:type="gramEnd"/>
          </w:p>
          <w:p w:rsidR="000F3BCC" w:rsidRDefault="000F3BCC" w:rsidP="000F3BCC"/>
          <w:p w:rsidR="000F3BCC" w:rsidRDefault="000F3BCC" w:rsidP="000F3BCC">
            <w:pPr>
              <w:rPr>
                <w:b/>
              </w:rPr>
            </w:pPr>
            <w:bookmarkStart w:id="20" w:name="zaklienta"/>
            <w:bookmarkEnd w:id="20"/>
            <w:r>
              <w:rPr>
                <w:b/>
              </w:rPr>
              <w:t>Městské parkovací domy Mladá Boleslav s.r.o.</w:t>
            </w:r>
          </w:p>
          <w:p w:rsidR="000F3BCC" w:rsidRDefault="000F3BCC" w:rsidP="000F3BCC">
            <w:pPr>
              <w:rPr>
                <w:b/>
              </w:rPr>
            </w:pPr>
            <w:bookmarkStart w:id="21" w:name="obchjm"/>
            <w:bookmarkEnd w:id="21"/>
          </w:p>
          <w:p w:rsidR="000F3BCC" w:rsidRDefault="000F3BCC" w:rsidP="000F3BCC"/>
          <w:p w:rsidR="000F3BCC" w:rsidRDefault="000F3BCC" w:rsidP="000F3BCC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0F3BCC" w:rsidRDefault="000F3BCC" w:rsidP="000F3BCC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0F3BCC" w:rsidRPr="003A1EAB" w:rsidRDefault="000F3BCC" w:rsidP="000F3BCC">
            <w:pPr>
              <w:spacing w:after="120"/>
              <w:rPr>
                <w:sz w:val="16"/>
                <w:szCs w:val="16"/>
              </w:rPr>
            </w:pPr>
            <w:r w:rsidRPr="003A1EAB">
              <w:rPr>
                <w:sz w:val="16"/>
                <w:szCs w:val="16"/>
              </w:rPr>
              <w:t>vlastnoruční podpis</w:t>
            </w:r>
          </w:p>
          <w:p w:rsidR="000F3BCC" w:rsidRPr="00C9505F" w:rsidRDefault="000F3BCC" w:rsidP="000F3BCC">
            <w:pPr>
              <w:tabs>
                <w:tab w:val="left" w:pos="851"/>
              </w:tabs>
              <w:rPr>
                <w:b/>
                <w:szCs w:val="18"/>
              </w:rPr>
            </w:pPr>
            <w:r w:rsidRPr="00C9505F">
              <w:rPr>
                <w:b/>
                <w:szCs w:val="18"/>
              </w:rPr>
              <w:t>Jméno:</w:t>
            </w:r>
            <w:r w:rsidRPr="00C9505F">
              <w:rPr>
                <w:b/>
                <w:szCs w:val="18"/>
              </w:rPr>
              <w:tab/>
            </w:r>
            <w:bookmarkStart w:id="22" w:name="zmocos"/>
            <w:bookmarkEnd w:id="22"/>
            <w:r>
              <w:rPr>
                <w:b/>
                <w:szCs w:val="18"/>
              </w:rPr>
              <w:t>Jan Nejman</w:t>
            </w:r>
          </w:p>
          <w:p w:rsidR="000F3BCC" w:rsidRPr="00C9505F" w:rsidRDefault="000F3BCC" w:rsidP="000F3BCC">
            <w:pPr>
              <w:ind w:left="851" w:hanging="851"/>
              <w:rPr>
                <w:b/>
                <w:szCs w:val="18"/>
              </w:rPr>
            </w:pPr>
            <w:r w:rsidRPr="00C9505F">
              <w:rPr>
                <w:b/>
                <w:szCs w:val="18"/>
              </w:rPr>
              <w:t>Funkce:</w:t>
            </w:r>
            <w:r w:rsidRPr="00C9505F">
              <w:rPr>
                <w:b/>
                <w:szCs w:val="18"/>
              </w:rPr>
              <w:tab/>
            </w:r>
            <w:bookmarkStart w:id="23" w:name="funkcezo"/>
            <w:bookmarkEnd w:id="23"/>
            <w:r>
              <w:rPr>
                <w:b/>
                <w:szCs w:val="18"/>
              </w:rPr>
              <w:t>jednatel</w:t>
            </w:r>
          </w:p>
          <w:p w:rsidR="000F3BCC" w:rsidRDefault="000F3BCC" w:rsidP="000F3BCC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:rsidR="000F3BCC" w:rsidRDefault="000F3BCC" w:rsidP="000F3BCC">
            <w:pPr>
              <w:ind w:right="22"/>
              <w:rPr>
                <w:sz w:val="8"/>
              </w:rPr>
            </w:pPr>
            <w:bookmarkStart w:id="24" w:name="banka_podpis"/>
          </w:p>
          <w:p w:rsidR="000F3BCC" w:rsidRDefault="000F3BCC" w:rsidP="000F3BCC">
            <w:pPr>
              <w:ind w:right="22"/>
            </w:pPr>
            <w:r>
              <w:t xml:space="preserve">V </w:t>
            </w:r>
            <w:bookmarkStart w:id="25" w:name="v1"/>
            <w:bookmarkEnd w:id="25"/>
            <w:r>
              <w:t xml:space="preserve">Mladé Boleslavi dne </w:t>
            </w:r>
            <w:bookmarkStart w:id="26" w:name="dne1"/>
            <w:bookmarkEnd w:id="26"/>
            <w:proofErr w:type="gramStart"/>
            <w:r>
              <w:t>01.01.2012</w:t>
            </w:r>
            <w:proofErr w:type="gramEnd"/>
          </w:p>
          <w:p w:rsidR="000F3BCC" w:rsidRDefault="000F3BCC" w:rsidP="000F3BCC">
            <w:pPr>
              <w:ind w:right="22"/>
              <w:rPr>
                <w:b/>
              </w:rPr>
            </w:pPr>
          </w:p>
          <w:p w:rsidR="000F3BCC" w:rsidRDefault="000F3BCC" w:rsidP="000F3BCC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0F3BCC" w:rsidRDefault="000F3BCC" w:rsidP="000F3BCC">
            <w:pPr>
              <w:ind w:right="22"/>
            </w:pPr>
          </w:p>
          <w:p w:rsidR="000F3BCC" w:rsidRDefault="000F3BCC" w:rsidP="000F3BCC">
            <w:pPr>
              <w:ind w:right="22"/>
            </w:pPr>
          </w:p>
          <w:p w:rsidR="000F3BCC" w:rsidRDefault="000F3BCC" w:rsidP="000F3BCC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:rsidR="000F3BCC" w:rsidRDefault="000F3BCC" w:rsidP="000F3BCC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:rsidR="000F3BCC" w:rsidRPr="00F51A46" w:rsidRDefault="000F3BCC" w:rsidP="000F3BCC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:rsidR="000F3BCC" w:rsidRPr="00463675" w:rsidRDefault="000F3BCC" w:rsidP="000F3BCC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  <w:bookmarkStart w:id="27" w:name="prac1"/>
            <w:bookmarkEnd w:id="27"/>
            <w:r>
              <w:rPr>
                <w:b/>
                <w:szCs w:val="18"/>
              </w:rPr>
              <w:t>Michaela Šindelková</w:t>
            </w:r>
          </w:p>
          <w:p w:rsidR="000F3BCC" w:rsidRPr="00463675" w:rsidRDefault="000F3BCC" w:rsidP="000F3BCC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bookmarkStart w:id="28" w:name="funkb1"/>
            <w:bookmarkEnd w:id="28"/>
            <w:r>
              <w:rPr>
                <w:b/>
                <w:szCs w:val="18"/>
              </w:rPr>
              <w:t>Bankovní poradce</w:t>
            </w:r>
          </w:p>
          <w:p w:rsidR="000F3BCC" w:rsidRPr="00E4620A" w:rsidRDefault="000F3BCC" w:rsidP="000F3BCC">
            <w:pPr>
              <w:rPr>
                <w:szCs w:val="18"/>
              </w:rPr>
            </w:pPr>
            <w:bookmarkStart w:id="29" w:name="vlozpod"/>
            <w:bookmarkStart w:id="30" w:name="vloz"/>
            <w:bookmarkEnd w:id="29"/>
            <w:bookmarkEnd w:id="30"/>
          </w:p>
          <w:bookmarkEnd w:id="24"/>
          <w:p w:rsidR="000F3BCC" w:rsidRDefault="000F3BCC" w:rsidP="000F3BCC">
            <w:pPr>
              <w:rPr>
                <w:sz w:val="8"/>
              </w:rPr>
            </w:pPr>
          </w:p>
        </w:tc>
        <w:bookmarkStart w:id="31" w:name="banka"/>
        <w:bookmarkEnd w:id="31"/>
      </w:tr>
      <w:bookmarkEnd w:id="17"/>
    </w:tbl>
    <w:p w:rsidR="000F3BCC" w:rsidRDefault="000F3BCC" w:rsidP="000F3BCC"/>
    <w:p w:rsidR="008C362D" w:rsidRDefault="008C362D" w:rsidP="00DE605F"/>
    <w:sectPr w:rsidR="008C362D" w:rsidSect="00563927">
      <w:headerReference w:type="default" r:id="rId7"/>
      <w:footerReference w:type="default" r:id="rId8"/>
      <w:pgSz w:w="11907" w:h="16840" w:code="9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00" w:rsidRDefault="00516C00">
      <w:r>
        <w:separator/>
      </w:r>
    </w:p>
  </w:endnote>
  <w:endnote w:type="continuationSeparator" w:id="0">
    <w:p w:rsidR="00516C00" w:rsidRDefault="0051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601"/>
      <w:gridCol w:w="4038"/>
    </w:tblGrid>
    <w:tr w:rsidR="0037214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/>
      </w:trPr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:rsidR="0037214B" w:rsidRDefault="0037214B">
          <w:pPr>
            <w:pStyle w:val="kbFixedtext"/>
            <w:spacing w:before="100"/>
          </w:pPr>
          <w:r>
            <w:t xml:space="preserve">Komerční banka, a.s., se sídlem: </w:t>
          </w:r>
        </w:p>
        <w:p w:rsidR="0037214B" w:rsidRDefault="0037214B">
          <w:pPr>
            <w:pStyle w:val="kbFixedtext"/>
          </w:pPr>
          <w:r>
            <w:t>Praha 1, Na Příkopě 33 čp. 969, PSČ 114 07, IČ: 45317054</w:t>
          </w:r>
        </w:p>
        <w:p w:rsidR="0037214B" w:rsidRDefault="0037214B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:rsidR="0037214B" w:rsidRDefault="0037214B">
          <w:pPr>
            <w:pStyle w:val="kbFixedtext"/>
            <w:spacing w:before="100"/>
            <w:jc w:val="right"/>
          </w:pPr>
          <w:fldSimple w:instr=" PAGE ">
            <w:r w:rsidR="002A7485">
              <w:rPr>
                <w:noProof/>
              </w:rPr>
              <w:t>1</w:t>
            </w:r>
          </w:fldSimple>
          <w:r>
            <w:t>/</w:t>
          </w:r>
          <w:fldSimple w:instr=" NUMPAGES ">
            <w:r w:rsidR="002A7485">
              <w:rPr>
                <w:noProof/>
              </w:rPr>
              <w:t>1</w:t>
            </w:r>
          </w:fldSimple>
        </w:p>
        <w:p w:rsidR="0037214B" w:rsidRDefault="0037214B">
          <w:pPr>
            <w:pStyle w:val="Registration"/>
            <w:jc w:val="right"/>
          </w:pPr>
        </w:p>
      </w:tc>
    </w:tr>
  </w:tbl>
  <w:p w:rsidR="0037214B" w:rsidRDefault="0037214B">
    <w:pPr>
      <w:pStyle w:val="Zpat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00" w:rsidRDefault="00516C00">
      <w:r>
        <w:separator/>
      </w:r>
    </w:p>
  </w:footnote>
  <w:footnote w:type="continuationSeparator" w:id="0">
    <w:p w:rsidR="00516C00" w:rsidRDefault="00516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/>
    </w:tblPr>
    <w:tblGrid>
      <w:gridCol w:w="7044"/>
      <w:gridCol w:w="3969"/>
    </w:tblGrid>
    <w:tr w:rsidR="0037214B">
      <w:tblPrEx>
        <w:tblCellMar>
          <w:top w:w="0" w:type="dxa"/>
          <w:bottom w:w="0" w:type="dxa"/>
        </w:tblCellMar>
      </w:tblPrEx>
      <w:tc>
        <w:tcPr>
          <w:tcW w:w="7044" w:type="dxa"/>
        </w:tcPr>
        <w:p w:rsidR="0037214B" w:rsidRDefault="0037214B">
          <w:r>
            <w:rPr>
              <w:rFonts w:ascii="KBlogo" w:hAnsi="KBlogo"/>
              <w:sz w:val="108"/>
            </w:rPr>
            <w:t></w:t>
          </w:r>
        </w:p>
      </w:tc>
      <w:tc>
        <w:tcPr>
          <w:tcW w:w="3969" w:type="dxa"/>
        </w:tcPr>
        <w:p w:rsidR="0037214B" w:rsidRPr="00424FA7" w:rsidRDefault="0037214B" w:rsidP="00DE605F">
          <w:pPr>
            <w:pStyle w:val="kbDocumentnameextrenal"/>
            <w:tabs>
              <w:tab w:val="clear" w:pos="6167"/>
              <w:tab w:val="right" w:pos="2765"/>
            </w:tabs>
            <w:jc w:val="left"/>
            <w:rPr>
              <w:spacing w:val="-4"/>
            </w:rPr>
          </w:pPr>
          <w:r>
            <w:tab/>
            <w:t>Dodatek ke smlouvě</w:t>
          </w:r>
        </w:p>
      </w:tc>
    </w:tr>
  </w:tbl>
  <w:p w:rsidR="0037214B" w:rsidRDefault="0037214B">
    <w:pPr>
      <w:pStyle w:val="Zhlav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8C186C"/>
    <w:lvl w:ilvl="0">
      <w:numFmt w:val="bullet"/>
      <w:lvlText w:val="*"/>
      <w:lvlJc w:val="left"/>
    </w:lvl>
  </w:abstractNum>
  <w:abstractNum w:abstractNumId="1">
    <w:nsid w:val="00C77BF9"/>
    <w:multiLevelType w:val="hybridMultilevel"/>
    <w:tmpl w:val="A1363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11E9F"/>
    <w:multiLevelType w:val="hybridMultilevel"/>
    <w:tmpl w:val="0B1C9428"/>
    <w:lvl w:ilvl="0" w:tplc="5CEADA86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E10C9"/>
    <w:multiLevelType w:val="multilevel"/>
    <w:tmpl w:val="064E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301DC"/>
    <w:multiLevelType w:val="hybridMultilevel"/>
    <w:tmpl w:val="2BE66ECE"/>
    <w:lvl w:ilvl="0" w:tplc="E1F6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A487A"/>
    <w:multiLevelType w:val="hybridMultilevel"/>
    <w:tmpl w:val="1FF0B1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3D2A5C"/>
    <w:multiLevelType w:val="hybridMultilevel"/>
    <w:tmpl w:val="951E45F4"/>
    <w:lvl w:ilvl="0" w:tplc="261A19A6">
      <w:start w:val="1"/>
      <w:numFmt w:val="bullet"/>
      <w:lvlText w:val=""/>
      <w:legacy w:legacy="1" w:legacySpace="0" w:legacyIndent="284"/>
      <w:lvlJc w:val="left"/>
      <w:pPr>
        <w:ind w:left="710" w:hanging="284"/>
      </w:pPr>
      <w:rPr>
        <w:rFonts w:ascii="Wingdings" w:hAnsi="Wingdings" w:hint="default"/>
        <w:sz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21DB7F30"/>
    <w:multiLevelType w:val="multilevel"/>
    <w:tmpl w:val="A136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10FBB"/>
    <w:multiLevelType w:val="hybridMultilevel"/>
    <w:tmpl w:val="5DB453A0"/>
    <w:lvl w:ilvl="0" w:tplc="00760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CA00C0"/>
    <w:multiLevelType w:val="hybridMultilevel"/>
    <w:tmpl w:val="0CAEE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057CC"/>
    <w:multiLevelType w:val="multilevel"/>
    <w:tmpl w:val="D1FA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D05FF4"/>
    <w:multiLevelType w:val="hybridMultilevel"/>
    <w:tmpl w:val="309416D6"/>
    <w:lvl w:ilvl="0" w:tplc="577E0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A1BC8"/>
    <w:multiLevelType w:val="hybridMultilevel"/>
    <w:tmpl w:val="CB70077C"/>
    <w:lvl w:ilvl="0" w:tplc="B8D8A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35355A"/>
    <w:multiLevelType w:val="hybridMultilevel"/>
    <w:tmpl w:val="064E2B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487660"/>
    <w:multiLevelType w:val="hybridMultilevel"/>
    <w:tmpl w:val="05A859B0"/>
    <w:lvl w:ilvl="0" w:tplc="4B380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2C46C6"/>
    <w:multiLevelType w:val="multilevel"/>
    <w:tmpl w:val="0B1C9428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671E92"/>
    <w:multiLevelType w:val="multilevel"/>
    <w:tmpl w:val="1FF0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B62519"/>
    <w:multiLevelType w:val="hybridMultilevel"/>
    <w:tmpl w:val="D1FAF9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EA6F98"/>
    <w:multiLevelType w:val="hybridMultilevel"/>
    <w:tmpl w:val="71D449BE"/>
    <w:lvl w:ilvl="0" w:tplc="86BAEC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F2FE52">
      <w:start w:val="1"/>
      <w:numFmt w:val="bullet"/>
      <w:lvlText w:val=""/>
      <w:lvlJc w:val="left"/>
      <w:pPr>
        <w:tabs>
          <w:tab w:val="num" w:pos="910"/>
        </w:tabs>
        <w:ind w:left="1364" w:hanging="284"/>
      </w:pPr>
      <w:rPr>
        <w:rFonts w:ascii="Arial" w:hAnsi="Aria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577E27"/>
    <w:multiLevelType w:val="hybridMultilevel"/>
    <w:tmpl w:val="DCBA6EA6"/>
    <w:lvl w:ilvl="0" w:tplc="5A141F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3A5002"/>
    <w:multiLevelType w:val="multilevel"/>
    <w:tmpl w:val="1FF0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2832EB"/>
    <w:multiLevelType w:val="hybridMultilevel"/>
    <w:tmpl w:val="AC8C0D9C"/>
    <w:lvl w:ilvl="0" w:tplc="6D6646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AD1D7C"/>
    <w:multiLevelType w:val="hybridMultilevel"/>
    <w:tmpl w:val="8F622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E46862"/>
    <w:multiLevelType w:val="hybridMultilevel"/>
    <w:tmpl w:val="A4143E18"/>
    <w:lvl w:ilvl="0" w:tplc="3F38B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83CD8"/>
    <w:multiLevelType w:val="hybridMultilevel"/>
    <w:tmpl w:val="EDFA4A2A"/>
    <w:lvl w:ilvl="0" w:tplc="040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633B9"/>
    <w:multiLevelType w:val="hybridMultilevel"/>
    <w:tmpl w:val="BB1EE796"/>
    <w:lvl w:ilvl="0" w:tplc="E1F6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A453B6"/>
    <w:multiLevelType w:val="multilevel"/>
    <w:tmpl w:val="0CAE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A46AF6"/>
    <w:multiLevelType w:val="multilevel"/>
    <w:tmpl w:val="1FF0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EB7752"/>
    <w:multiLevelType w:val="hybridMultilevel"/>
    <w:tmpl w:val="9668B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9F0538"/>
    <w:multiLevelType w:val="multilevel"/>
    <w:tmpl w:val="8334C8EE"/>
    <w:lvl w:ilvl="0">
      <w:start w:val="1"/>
      <w:numFmt w:val="upperRoman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auto"/>
        <w:sz w:val="18"/>
        <w:szCs w:val="18"/>
      </w:rPr>
    </w:lvl>
    <w:lvl w:ilvl="1">
      <w:start w:val="1"/>
      <w:numFmt w:val="decimal"/>
      <w:pStyle w:val="Nadpis2"/>
      <w:lvlText w:val="%2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sz w:val="18"/>
        <w:szCs w:val="18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18"/>
        <w:szCs w:val="18"/>
        <w:u w:val="none"/>
      </w:rPr>
    </w:lvl>
    <w:lvl w:ilvl="4">
      <w:start w:val="1"/>
      <w:numFmt w:val="decimal"/>
      <w:pStyle w:val="Nadpis5"/>
      <w:lvlText w:val="%1.%2.%3.%5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30">
    <w:nsid w:val="7C4B2A63"/>
    <w:multiLevelType w:val="hybridMultilevel"/>
    <w:tmpl w:val="2A9AC548"/>
    <w:lvl w:ilvl="0" w:tplc="C78CC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8"/>
          <w:szCs w:val="18"/>
        </w:rPr>
      </w:lvl>
    </w:lvlOverride>
  </w:num>
  <w:num w:numId="4">
    <w:abstractNumId w:val="6"/>
  </w:num>
  <w:num w:numId="5">
    <w:abstractNumId w:val="15"/>
  </w:num>
  <w:num w:numId="6">
    <w:abstractNumId w:val="24"/>
  </w:num>
  <w:num w:numId="7">
    <w:abstractNumId w:val="5"/>
  </w:num>
  <w:num w:numId="8">
    <w:abstractNumId w:val="28"/>
  </w:num>
  <w:num w:numId="9">
    <w:abstractNumId w:val="17"/>
  </w:num>
  <w:num w:numId="10">
    <w:abstractNumId w:val="20"/>
  </w:num>
  <w:num w:numId="11">
    <w:abstractNumId w:val="10"/>
  </w:num>
  <w:num w:numId="12">
    <w:abstractNumId w:val="27"/>
  </w:num>
  <w:num w:numId="13">
    <w:abstractNumId w:val="9"/>
  </w:num>
  <w:num w:numId="14">
    <w:abstractNumId w:val="26"/>
  </w:num>
  <w:num w:numId="15">
    <w:abstractNumId w:val="13"/>
  </w:num>
  <w:num w:numId="16">
    <w:abstractNumId w:val="22"/>
  </w:num>
  <w:num w:numId="17">
    <w:abstractNumId w:val="16"/>
  </w:num>
  <w:num w:numId="18">
    <w:abstractNumId w:val="1"/>
  </w:num>
  <w:num w:numId="19">
    <w:abstractNumId w:val="7"/>
  </w:num>
  <w:num w:numId="20">
    <w:abstractNumId w:val="8"/>
  </w:num>
  <w:num w:numId="21">
    <w:abstractNumId w:val="3"/>
  </w:num>
  <w:num w:numId="22">
    <w:abstractNumId w:val="12"/>
  </w:num>
  <w:num w:numId="23">
    <w:abstractNumId w:val="29"/>
  </w:num>
  <w:num w:numId="24">
    <w:abstractNumId w:val="29"/>
  </w:num>
  <w:num w:numId="25">
    <w:abstractNumId w:val="23"/>
  </w:num>
  <w:num w:numId="26">
    <w:abstractNumId w:val="30"/>
  </w:num>
  <w:num w:numId="27">
    <w:abstractNumId w:val="14"/>
  </w:num>
  <w:num w:numId="28">
    <w:abstractNumId w:val="19"/>
  </w:num>
  <w:num w:numId="29">
    <w:abstractNumId w:val="25"/>
  </w:num>
  <w:num w:numId="30">
    <w:abstractNumId w:val="18"/>
  </w:num>
  <w:num w:numId="31">
    <w:abstractNumId w:val="4"/>
  </w:num>
  <w:num w:numId="32">
    <w:abstractNumId w:val="21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grammar="clean"/>
  <w:attachedTemplate r:id="rId1"/>
  <w:stylePaneFormatFilter w:val="3F01"/>
  <w:defaultTabStop w:val="56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552AD"/>
    <w:rsid w:val="00036F54"/>
    <w:rsid w:val="00042C2B"/>
    <w:rsid w:val="00060F74"/>
    <w:rsid w:val="000613A2"/>
    <w:rsid w:val="00070BA9"/>
    <w:rsid w:val="00071E1C"/>
    <w:rsid w:val="00075AC3"/>
    <w:rsid w:val="000F3BCC"/>
    <w:rsid w:val="00112E80"/>
    <w:rsid w:val="00150672"/>
    <w:rsid w:val="00176229"/>
    <w:rsid w:val="001E3FD6"/>
    <w:rsid w:val="001F1160"/>
    <w:rsid w:val="002318AD"/>
    <w:rsid w:val="002520E0"/>
    <w:rsid w:val="002811CE"/>
    <w:rsid w:val="002A7485"/>
    <w:rsid w:val="002E32C8"/>
    <w:rsid w:val="002E469A"/>
    <w:rsid w:val="002E5867"/>
    <w:rsid w:val="002F06A8"/>
    <w:rsid w:val="002F2421"/>
    <w:rsid w:val="00326BE2"/>
    <w:rsid w:val="00337F97"/>
    <w:rsid w:val="0037214B"/>
    <w:rsid w:val="0038656B"/>
    <w:rsid w:val="003A7DF7"/>
    <w:rsid w:val="003D6729"/>
    <w:rsid w:val="003D6806"/>
    <w:rsid w:val="003E32B9"/>
    <w:rsid w:val="003F02E0"/>
    <w:rsid w:val="00424B11"/>
    <w:rsid w:val="00424FA7"/>
    <w:rsid w:val="00427EF5"/>
    <w:rsid w:val="00433CD1"/>
    <w:rsid w:val="00451174"/>
    <w:rsid w:val="00467F91"/>
    <w:rsid w:val="004A133C"/>
    <w:rsid w:val="004B4293"/>
    <w:rsid w:val="004B4AD5"/>
    <w:rsid w:val="004F01E9"/>
    <w:rsid w:val="004F3581"/>
    <w:rsid w:val="00511842"/>
    <w:rsid w:val="00516C00"/>
    <w:rsid w:val="005324FA"/>
    <w:rsid w:val="0055432E"/>
    <w:rsid w:val="00563927"/>
    <w:rsid w:val="00574EB6"/>
    <w:rsid w:val="00574F0F"/>
    <w:rsid w:val="00595FFE"/>
    <w:rsid w:val="005A2011"/>
    <w:rsid w:val="005D78CF"/>
    <w:rsid w:val="00606EC9"/>
    <w:rsid w:val="0064626E"/>
    <w:rsid w:val="006B44F0"/>
    <w:rsid w:val="006F53DB"/>
    <w:rsid w:val="00715AAF"/>
    <w:rsid w:val="007227D6"/>
    <w:rsid w:val="00744968"/>
    <w:rsid w:val="00753E01"/>
    <w:rsid w:val="007714E2"/>
    <w:rsid w:val="00772067"/>
    <w:rsid w:val="007D3F02"/>
    <w:rsid w:val="007F0A39"/>
    <w:rsid w:val="00802A01"/>
    <w:rsid w:val="00807032"/>
    <w:rsid w:val="0081602F"/>
    <w:rsid w:val="00822C04"/>
    <w:rsid w:val="00827007"/>
    <w:rsid w:val="00831566"/>
    <w:rsid w:val="00836378"/>
    <w:rsid w:val="008572A7"/>
    <w:rsid w:val="008734FE"/>
    <w:rsid w:val="00875C84"/>
    <w:rsid w:val="00892DC9"/>
    <w:rsid w:val="00893D6E"/>
    <w:rsid w:val="008C362D"/>
    <w:rsid w:val="008C435C"/>
    <w:rsid w:val="008C5BF9"/>
    <w:rsid w:val="008D0997"/>
    <w:rsid w:val="008D20DE"/>
    <w:rsid w:val="009168C7"/>
    <w:rsid w:val="00941480"/>
    <w:rsid w:val="00966CF9"/>
    <w:rsid w:val="00970A23"/>
    <w:rsid w:val="0097351A"/>
    <w:rsid w:val="009A13EE"/>
    <w:rsid w:val="009D47D1"/>
    <w:rsid w:val="009E628C"/>
    <w:rsid w:val="009E6539"/>
    <w:rsid w:val="009E77D4"/>
    <w:rsid w:val="00A4621E"/>
    <w:rsid w:val="00A56AF0"/>
    <w:rsid w:val="00A62985"/>
    <w:rsid w:val="00A64BE0"/>
    <w:rsid w:val="00A95DF3"/>
    <w:rsid w:val="00A96099"/>
    <w:rsid w:val="00A967F6"/>
    <w:rsid w:val="00AA1716"/>
    <w:rsid w:val="00AA2761"/>
    <w:rsid w:val="00AA72BF"/>
    <w:rsid w:val="00AC18FE"/>
    <w:rsid w:val="00AD5068"/>
    <w:rsid w:val="00AF7361"/>
    <w:rsid w:val="00B02D3C"/>
    <w:rsid w:val="00B10E48"/>
    <w:rsid w:val="00B20B69"/>
    <w:rsid w:val="00B47382"/>
    <w:rsid w:val="00B86578"/>
    <w:rsid w:val="00BF46F8"/>
    <w:rsid w:val="00C07762"/>
    <w:rsid w:val="00C369A6"/>
    <w:rsid w:val="00C52DB0"/>
    <w:rsid w:val="00CB15E4"/>
    <w:rsid w:val="00CD37EC"/>
    <w:rsid w:val="00CE3809"/>
    <w:rsid w:val="00CF0020"/>
    <w:rsid w:val="00D60C22"/>
    <w:rsid w:val="00D62327"/>
    <w:rsid w:val="00D71001"/>
    <w:rsid w:val="00D808E9"/>
    <w:rsid w:val="00D84118"/>
    <w:rsid w:val="00D85AFF"/>
    <w:rsid w:val="00D955A3"/>
    <w:rsid w:val="00D96F91"/>
    <w:rsid w:val="00DC1794"/>
    <w:rsid w:val="00DC390C"/>
    <w:rsid w:val="00DE0F26"/>
    <w:rsid w:val="00DE605F"/>
    <w:rsid w:val="00DE6D58"/>
    <w:rsid w:val="00DE6E9E"/>
    <w:rsid w:val="00DF5380"/>
    <w:rsid w:val="00E11A1F"/>
    <w:rsid w:val="00E139A3"/>
    <w:rsid w:val="00E1412B"/>
    <w:rsid w:val="00E2106A"/>
    <w:rsid w:val="00E27945"/>
    <w:rsid w:val="00E41AE4"/>
    <w:rsid w:val="00E46F93"/>
    <w:rsid w:val="00E552AD"/>
    <w:rsid w:val="00E65B43"/>
    <w:rsid w:val="00E9545D"/>
    <w:rsid w:val="00EB56B0"/>
    <w:rsid w:val="00EC48B7"/>
    <w:rsid w:val="00EF4E00"/>
    <w:rsid w:val="00F26189"/>
    <w:rsid w:val="00F4412B"/>
    <w:rsid w:val="00F77982"/>
    <w:rsid w:val="00F87563"/>
    <w:rsid w:val="00F9196D"/>
    <w:rsid w:val="00F9665A"/>
    <w:rsid w:val="00FB6B4C"/>
    <w:rsid w:val="00FD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80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4B4293"/>
    <w:pPr>
      <w:numPr>
        <w:numId w:val="23"/>
      </w:numPr>
      <w:spacing w:before="120" w:after="120"/>
      <w:outlineLvl w:val="0"/>
    </w:pPr>
  </w:style>
  <w:style w:type="paragraph" w:styleId="Nadpis2">
    <w:name w:val="heading 2"/>
    <w:basedOn w:val="Normln"/>
    <w:next w:val="Normln"/>
    <w:qFormat/>
    <w:rsid w:val="004B4293"/>
    <w:pPr>
      <w:numPr>
        <w:ilvl w:val="1"/>
        <w:numId w:val="23"/>
      </w:numPr>
      <w:tabs>
        <w:tab w:val="left" w:pos="567"/>
      </w:tabs>
      <w:spacing w:after="120"/>
      <w:outlineLvl w:val="1"/>
    </w:pPr>
  </w:style>
  <w:style w:type="paragraph" w:styleId="Nadpis3">
    <w:name w:val="heading 3"/>
    <w:basedOn w:val="Normln"/>
    <w:next w:val="Normln"/>
    <w:qFormat/>
    <w:rsid w:val="004B4293"/>
    <w:pPr>
      <w:numPr>
        <w:ilvl w:val="2"/>
        <w:numId w:val="23"/>
      </w:numPr>
      <w:tabs>
        <w:tab w:val="left" w:pos="567"/>
      </w:tabs>
      <w:outlineLvl w:val="2"/>
    </w:pPr>
    <w:rPr>
      <w:b/>
    </w:rPr>
  </w:style>
  <w:style w:type="paragraph" w:styleId="Nadpis4">
    <w:name w:val="heading 4"/>
    <w:basedOn w:val="Normln"/>
    <w:next w:val="Normlnodsazen"/>
    <w:qFormat/>
    <w:rsid w:val="004B4293"/>
    <w:pPr>
      <w:numPr>
        <w:ilvl w:val="3"/>
        <w:numId w:val="23"/>
      </w:numPr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rsid w:val="004B4293"/>
    <w:pPr>
      <w:numPr>
        <w:ilvl w:val="4"/>
        <w:numId w:val="23"/>
      </w:numPr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odsazen">
    <w:name w:val="Normal Indent"/>
    <w:basedOn w:val="Normln"/>
    <w:pPr>
      <w:ind w:left="567"/>
    </w:pPr>
  </w:style>
  <w:style w:type="paragraph" w:styleId="Textbubliny">
    <w:name w:val="Balloon Text"/>
    <w:basedOn w:val="Normln"/>
    <w:semiHidden/>
    <w:rsid w:val="009168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9168C7"/>
    <w:rPr>
      <w:sz w:val="16"/>
    </w:rPr>
  </w:style>
  <w:style w:type="paragraph" w:styleId="Zhlav">
    <w:name w:val="header"/>
    <w:basedOn w:val="Normln"/>
    <w:next w:val="Normln"/>
    <w:rsid w:val="009168C7"/>
    <w:rPr>
      <w:sz w:val="16"/>
    </w:rPr>
  </w:style>
  <w:style w:type="character" w:styleId="Znakapoznpodarou">
    <w:name w:val="footnote reference"/>
    <w:basedOn w:val="Standardnpsmoodstavce"/>
    <w:semiHidden/>
    <w:rPr>
      <w:position w:val="6"/>
      <w:sz w:val="16"/>
    </w:rPr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paragraph" w:styleId="Textpoznpodarou">
    <w:name w:val="footnote text"/>
    <w:basedOn w:val="Normln"/>
    <w:semiHidden/>
    <w:rsid w:val="003F02E0"/>
  </w:style>
  <w:style w:type="table" w:styleId="Mkatabulky">
    <w:name w:val="Table Grid"/>
    <w:basedOn w:val="Normlntabulka"/>
    <w:rsid w:val="008C362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772067"/>
    <w:rPr>
      <w:sz w:val="16"/>
      <w:szCs w:val="16"/>
    </w:rPr>
  </w:style>
  <w:style w:type="paragraph" w:styleId="Textkomente">
    <w:name w:val="annotation text"/>
    <w:basedOn w:val="Normln"/>
    <w:semiHidden/>
    <w:rsid w:val="00772067"/>
    <w:rPr>
      <w:sz w:val="20"/>
    </w:rPr>
  </w:style>
  <w:style w:type="paragraph" w:styleId="Pedmtkomente">
    <w:name w:val="annotation subject"/>
    <w:basedOn w:val="Textkomente"/>
    <w:next w:val="Textkomente"/>
    <w:semiHidden/>
    <w:rsid w:val="007720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dobal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Dodobaly</Template>
  <TotalTime>2</TotalTime>
  <Pages>1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Komerční banka, a.s.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/>
  <dc:creator>msindelk</dc:creator>
  <cp:keywords/>
  <dc:description/>
  <cp:lastModifiedBy>JAN</cp:lastModifiedBy>
  <cp:revision>4</cp:revision>
  <cp:lastPrinted>2012-02-16T14:05:00Z</cp:lastPrinted>
  <dcterms:created xsi:type="dcterms:W3CDTF">2012-02-16T14:04:00Z</dcterms:created>
  <dcterms:modified xsi:type="dcterms:W3CDTF">2012-02-16T14:05:00Z</dcterms:modified>
</cp:coreProperties>
</file>