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10" w:rsidRDefault="0036093F">
      <w:pPr>
        <w:pStyle w:val="Heading10"/>
        <w:framePr w:wrap="none" w:vAnchor="page" w:hAnchor="page" w:x="2914" w:y="1424"/>
        <w:shd w:val="clear" w:color="auto" w:fill="auto"/>
      </w:pPr>
      <w:bookmarkStart w:id="0" w:name="bookmark0"/>
      <w:bookmarkStart w:id="1" w:name="_GoBack"/>
      <w:bookmarkEnd w:id="1"/>
      <w:r>
        <w:t>DZ - ZARU s.r.o.</w:t>
      </w:r>
      <w:bookmarkEnd w:id="0"/>
    </w:p>
    <w:p w:rsidR="00F06510" w:rsidRDefault="0036093F">
      <w:pPr>
        <w:pStyle w:val="Heading20"/>
        <w:framePr w:w="4330" w:h="933" w:hRule="exact" w:wrap="none" w:vAnchor="page" w:hAnchor="page" w:x="1085" w:y="2572"/>
        <w:shd w:val="clear" w:color="auto" w:fill="auto"/>
      </w:pPr>
      <w:bookmarkStart w:id="2" w:name="bookmark1"/>
      <w:r>
        <w:t>Cenová nabídka</w:t>
      </w:r>
      <w:bookmarkEnd w:id="2"/>
    </w:p>
    <w:p w:rsidR="00F06510" w:rsidRDefault="0036093F">
      <w:pPr>
        <w:pStyle w:val="Bodytext30"/>
        <w:framePr w:w="4330" w:h="933" w:hRule="exact" w:wrap="none" w:vAnchor="page" w:hAnchor="page" w:x="1085" w:y="2572"/>
        <w:shd w:val="clear" w:color="auto" w:fill="auto"/>
        <w:ind w:right="2900"/>
      </w:pPr>
      <w:r>
        <w:t>ČCN: 76/2018 Datum: 11.6.2018</w:t>
      </w:r>
    </w:p>
    <w:p w:rsidR="00F06510" w:rsidRDefault="0036093F">
      <w:pPr>
        <w:pStyle w:val="Bodytext20"/>
        <w:framePr w:w="1786" w:h="1358" w:hRule="exact" w:wrap="none" w:vAnchor="page" w:hAnchor="page" w:x="8400" w:y="1214"/>
        <w:shd w:val="clear" w:color="auto" w:fill="auto"/>
      </w:pPr>
      <w:r>
        <w:t xml:space="preserve">Sídlo: Dolní llštná 248 739 61 Třinec IČ: 27811964 DIČ: CZ 27811964 tel.: 737238034 </w:t>
      </w:r>
      <w:hyperlink r:id="rId7" w:history="1">
        <w:r>
          <w:rPr>
            <w:rStyle w:val="Bodytext21"/>
          </w:rPr>
          <w:t>cieslar.r@seznam.cz</w:t>
        </w:r>
      </w:hyperlink>
    </w:p>
    <w:p w:rsidR="00F06510" w:rsidRDefault="008E2A55">
      <w:pPr>
        <w:framePr w:wrap="none" w:vAnchor="page" w:hAnchor="page" w:x="11938" w:y="117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28700" cy="990600"/>
            <wp:effectExtent l="0" t="0" r="0" b="0"/>
            <wp:docPr id="1" name="obrázek 1" descr="C:\Users\bazgierova\AppData\Local\Microsoft\Windows\INetCache\Content.Outlook\0OXTVXZ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gierova\AppData\Local\Microsoft\Windows\INetCache\Content.Outlook\0OXTVXZ2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510" w:rsidRDefault="0036093F">
      <w:pPr>
        <w:pStyle w:val="Bodytext40"/>
        <w:framePr w:wrap="none" w:vAnchor="page" w:hAnchor="page" w:x="9288" w:y="2732"/>
        <w:shd w:val="clear" w:color="auto" w:fill="auto"/>
      </w:pPr>
      <w:r>
        <w:t>" MÚ Český Těšín - interiérové dveře "</w:t>
      </w:r>
    </w:p>
    <w:p w:rsidR="00F06510" w:rsidRDefault="0036093F">
      <w:pPr>
        <w:pStyle w:val="Bodytext30"/>
        <w:framePr w:w="5107" w:h="706" w:hRule="exact" w:wrap="none" w:vAnchor="page" w:hAnchor="page" w:x="7704" w:y="3250"/>
        <w:shd w:val="clear" w:color="auto" w:fill="auto"/>
        <w:tabs>
          <w:tab w:val="left" w:pos="4216"/>
        </w:tabs>
        <w:ind w:left="160"/>
        <w:jc w:val="both"/>
      </w:pPr>
      <w:r>
        <w:t>Komu:</w:t>
      </w:r>
      <w:r>
        <w:tab/>
        <w:t>Zpracoval:</w:t>
      </w:r>
    </w:p>
    <w:p w:rsidR="00F06510" w:rsidRDefault="0036093F">
      <w:pPr>
        <w:pStyle w:val="Bodytext30"/>
        <w:framePr w:w="5107" w:h="706" w:hRule="exact" w:wrap="none" w:vAnchor="page" w:hAnchor="page" w:x="7704" w:y="3250"/>
        <w:shd w:val="clear" w:color="auto" w:fill="auto"/>
        <w:tabs>
          <w:tab w:val="left" w:pos="3662"/>
        </w:tabs>
        <w:ind w:left="340"/>
        <w:jc w:val="both"/>
      </w:pPr>
      <w:r>
        <w:t>Fax:</w:t>
      </w:r>
      <w:r>
        <w:tab/>
        <w:t>Stránky celkem:</w:t>
      </w:r>
    </w:p>
    <w:p w:rsidR="00F06510" w:rsidRDefault="0036093F">
      <w:pPr>
        <w:pStyle w:val="Bodytext30"/>
        <w:framePr w:w="5107" w:h="706" w:hRule="exact" w:wrap="none" w:vAnchor="page" w:hAnchor="page" w:x="7704" w:y="3250"/>
        <w:shd w:val="clear" w:color="auto" w:fill="auto"/>
        <w:tabs>
          <w:tab w:val="left" w:pos="3638"/>
        </w:tabs>
        <w:jc w:val="both"/>
      </w:pPr>
      <w:r>
        <w:t>Telefon:</w:t>
      </w:r>
      <w:r>
        <w:tab/>
        <w:t xml:space="preserve">Kontaktní </w:t>
      </w:r>
      <w:r>
        <w:t>osoba</w:t>
      </w:r>
    </w:p>
    <w:p w:rsidR="00F06510" w:rsidRDefault="0036093F">
      <w:pPr>
        <w:pStyle w:val="Tablecaption0"/>
        <w:framePr w:wrap="none" w:vAnchor="page" w:hAnchor="page" w:x="4181" w:y="4120"/>
        <w:shd w:val="clear" w:color="auto" w:fill="auto"/>
      </w:pPr>
      <w:r>
        <w:t>Dle Vašich požadavků Vám zasíláme cenovou nabídku na výrobu,dodávku a montáž těchto prvků.</w:t>
      </w:r>
    </w:p>
    <w:p w:rsidR="00F06510" w:rsidRDefault="0036093F">
      <w:pPr>
        <w:pStyle w:val="Bodytext20"/>
        <w:framePr w:w="595" w:h="695" w:hRule="exact" w:wrap="none" w:vAnchor="page" w:hAnchor="page" w:x="13911" w:y="3259"/>
        <w:shd w:val="clear" w:color="auto" w:fill="auto"/>
      </w:pPr>
      <w:r>
        <w:t>Ciešlar</w:t>
      </w:r>
    </w:p>
    <w:p w:rsidR="00F06510" w:rsidRDefault="0036093F">
      <w:pPr>
        <w:pStyle w:val="Bodytext50"/>
        <w:framePr w:w="595" w:h="695" w:hRule="exact" w:wrap="none" w:vAnchor="page" w:hAnchor="page" w:x="13911" w:y="3259"/>
        <w:shd w:val="clear" w:color="auto" w:fill="auto"/>
      </w:pPr>
      <w:r>
        <w:t>1</w:t>
      </w:r>
    </w:p>
    <w:p w:rsidR="00F06510" w:rsidRDefault="0036093F">
      <w:pPr>
        <w:pStyle w:val="Bodytext20"/>
        <w:framePr w:w="595" w:h="695" w:hRule="exact" w:wrap="none" w:vAnchor="page" w:hAnchor="page" w:x="13911" w:y="3259"/>
        <w:shd w:val="clear" w:color="auto" w:fill="auto"/>
      </w:pPr>
      <w:r>
        <w:t>Ciešlar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030"/>
        <w:gridCol w:w="1661"/>
        <w:gridCol w:w="1147"/>
        <w:gridCol w:w="1963"/>
        <w:gridCol w:w="1286"/>
        <w:gridCol w:w="1354"/>
        <w:gridCol w:w="1411"/>
      </w:tblGrid>
      <w:tr w:rsidR="00F0651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</w:pPr>
            <w:r>
              <w:rPr>
                <w:rStyle w:val="Bodytext2Bold"/>
              </w:rPr>
              <w:t>Označ.</w:t>
            </w:r>
          </w:p>
        </w:tc>
        <w:tc>
          <w:tcPr>
            <w:tcW w:w="5030" w:type="dxa"/>
            <w:tcBorders>
              <w:top w:val="single" w:sz="4" w:space="0" w:color="auto"/>
            </w:tcBorders>
            <w:shd w:val="clear" w:color="auto" w:fill="FFFFFF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tabs>
                <w:tab w:val="left" w:pos="2448"/>
              </w:tabs>
              <w:spacing w:line="190" w:lineRule="exact"/>
              <w:jc w:val="both"/>
            </w:pPr>
            <w:r>
              <w:rPr>
                <w:rStyle w:val="Bodytext2Bold"/>
              </w:rPr>
              <w:t>Popis</w:t>
            </w:r>
            <w:r>
              <w:rPr>
                <w:rStyle w:val="Bodytext2Bold"/>
              </w:rPr>
              <w:tab/>
              <w:t>Rozměr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both"/>
            </w:pPr>
            <w:r>
              <w:rPr>
                <w:rStyle w:val="Bodytext2Bold"/>
              </w:rPr>
              <w:t>MJ Počet DPH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jc w:val="center"/>
            </w:pPr>
            <w:r>
              <w:rPr>
                <w:rStyle w:val="Bodytext2Bold"/>
              </w:rPr>
              <w:t>Cena za MJ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206" w:lineRule="exact"/>
              <w:ind w:left="600"/>
            </w:pPr>
            <w:r>
              <w:rPr>
                <w:rStyle w:val="Bodytext2Bold"/>
              </w:rPr>
              <w:t>Cena za MJ s DPH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jc w:val="center"/>
            </w:pPr>
            <w:r>
              <w:rPr>
                <w:rStyle w:val="Bodytext2Bold"/>
              </w:rPr>
              <w:t>Cena celkem bez DPH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jc w:val="center"/>
            </w:pPr>
            <w:r>
              <w:rPr>
                <w:rStyle w:val="Bodytext2Bold"/>
              </w:rPr>
              <w:t>DPH celkem 15%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jc w:val="center"/>
            </w:pPr>
            <w:r>
              <w:rPr>
                <w:rStyle w:val="Bodytext2Bold"/>
              </w:rPr>
              <w:t>DPH celkem 21%</w:t>
            </w:r>
          </w:p>
        </w:tc>
      </w:tr>
      <w:tr w:rsidR="00F0651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</w:pPr>
            <w:r>
              <w:rPr>
                <w:rStyle w:val="Bodytext22"/>
              </w:rPr>
              <w:t xml:space="preserve">Dřevěné interiérové dveře </w:t>
            </w:r>
            <w:r>
              <w:rPr>
                <w:rStyle w:val="Bodytext22"/>
              </w:rPr>
              <w:t>včetně obložkové zárubně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tabs>
                <w:tab w:val="left" w:pos="998"/>
              </w:tabs>
              <w:spacing w:line="190" w:lineRule="exact"/>
              <w:jc w:val="both"/>
            </w:pPr>
            <w:r>
              <w:rPr>
                <w:rStyle w:val="Bodytext22"/>
              </w:rPr>
              <w:t>ks 11</w:t>
            </w:r>
            <w:r>
              <w:rPr>
                <w:rStyle w:val="Bodytext22"/>
              </w:rPr>
              <w:tab/>
              <w:t>21%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16 900,0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20 449,0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185 900,0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39 039,00</w:t>
            </w:r>
          </w:p>
        </w:tc>
      </w:tr>
      <w:tr w:rsidR="00F0651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0" w:type="dxa"/>
            <w:shd w:val="clear" w:color="auto" w:fill="FFFFFF"/>
            <w:vAlign w:val="center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2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</w:pPr>
            <w:r>
              <w:rPr>
                <w:rStyle w:val="Bodytext22"/>
              </w:rPr>
              <w:t>Demontáž a likvidace stávajících dveří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tabs>
                <w:tab w:val="left" w:pos="1003"/>
              </w:tabs>
              <w:spacing w:line="190" w:lineRule="exact"/>
              <w:jc w:val="both"/>
            </w:pPr>
            <w:r>
              <w:rPr>
                <w:rStyle w:val="Bodytext22"/>
              </w:rPr>
              <w:t>ks 11</w:t>
            </w:r>
            <w:r>
              <w:rPr>
                <w:rStyle w:val="Bodytext22"/>
              </w:rPr>
              <w:tab/>
              <w:t>21%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800,0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968,0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8 800,0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0,0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1 848,00</w:t>
            </w:r>
          </w:p>
        </w:tc>
      </w:tr>
      <w:tr w:rsidR="00F0651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10" w:type="dxa"/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5030" w:type="dxa"/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</w:pPr>
            <w:r>
              <w:rPr>
                <w:rStyle w:val="Bodytext2Bold"/>
              </w:rPr>
              <w:t>Poznámky:</w:t>
            </w:r>
          </w:p>
        </w:tc>
        <w:tc>
          <w:tcPr>
            <w:tcW w:w="1661" w:type="dxa"/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3249" w:type="dxa"/>
            <w:gridSpan w:val="2"/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Bodytext22"/>
              </w:rPr>
              <w:t>Cena bez DPH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DPH 15%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DPH 21%</w:t>
            </w:r>
          </w:p>
        </w:tc>
      </w:tr>
      <w:tr w:rsidR="00F0651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0" w:type="dxa"/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Bodytext22"/>
              </w:rPr>
              <w:t>Zakázka celkem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194 700,0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40 887,00</w:t>
            </w:r>
          </w:p>
        </w:tc>
      </w:tr>
      <w:tr w:rsidR="00F0651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710" w:type="dxa"/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66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</w:pPr>
            <w:r>
              <w:rPr>
                <w:rStyle w:val="Bodytext22"/>
              </w:rPr>
              <w:t>Cena</w:t>
            </w:r>
            <w:r>
              <w:rPr>
                <w:rStyle w:val="Bodytext22"/>
              </w:rPr>
              <w:t xml:space="preserve"> prací spojených s demontáží a montáží je závislá na jejich průběhu - možnost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Bodytext22"/>
              </w:rPr>
              <w:t>Technická pomoc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0,00</w:t>
            </w:r>
          </w:p>
        </w:tc>
      </w:tr>
      <w:tr w:rsidR="00F065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0" w:type="dxa"/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5030" w:type="dxa"/>
            <w:tcBorders>
              <w:left w:val="single" w:sz="4" w:space="0" w:color="auto"/>
            </w:tcBorders>
            <w:shd w:val="clear" w:color="auto" w:fill="FFFFFF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</w:pPr>
            <w:r>
              <w:rPr>
                <w:rStyle w:val="Bodytext22"/>
              </w:rPr>
              <w:t>součinnosti zedníka.</w:t>
            </w:r>
          </w:p>
        </w:tc>
        <w:tc>
          <w:tcPr>
            <w:tcW w:w="1661" w:type="dxa"/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Bodytext22"/>
              </w:rPr>
              <w:t>Montáž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0,00</w:t>
            </w:r>
          </w:p>
        </w:tc>
      </w:tr>
      <w:tr w:rsidR="00F0651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710" w:type="dxa"/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5030" w:type="dxa"/>
            <w:tcBorders>
              <w:left w:val="single" w:sz="4" w:space="0" w:color="auto"/>
            </w:tcBorders>
            <w:shd w:val="clear" w:color="auto" w:fill="FFFFFF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</w:pPr>
            <w:r>
              <w:rPr>
                <w:rStyle w:val="Bodytext22"/>
              </w:rPr>
              <w:t>Součástí cenové nabídky není kování</w:t>
            </w:r>
          </w:p>
        </w:tc>
        <w:tc>
          <w:tcPr>
            <w:tcW w:w="1661" w:type="dxa"/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Bodytext22"/>
              </w:rPr>
              <w:t>Doprava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5 280,0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1 108,80</w:t>
            </w:r>
          </w:p>
        </w:tc>
      </w:tr>
      <w:tr w:rsidR="00F065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0" w:type="dxa"/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5030" w:type="dxa"/>
            <w:tcBorders>
              <w:left w:val="single" w:sz="4" w:space="0" w:color="auto"/>
            </w:tcBorders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Bodytext2Bold"/>
              </w:rPr>
              <w:t>Součet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Bold"/>
              </w:rPr>
              <w:t>199 980,0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Bold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190" w:lineRule="exact"/>
              <w:jc w:val="center"/>
            </w:pPr>
            <w:r>
              <w:rPr>
                <w:rStyle w:val="Bodytext2Bold"/>
              </w:rPr>
              <w:t xml:space="preserve">41 </w:t>
            </w:r>
            <w:r>
              <w:rPr>
                <w:rStyle w:val="Bodytext2Bold"/>
              </w:rPr>
              <w:t>995,80</w:t>
            </w:r>
          </w:p>
        </w:tc>
      </w:tr>
      <w:tr w:rsidR="00F0651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10" w:type="dxa"/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380" w:lineRule="exact"/>
              <w:ind w:right="340"/>
              <w:jc w:val="right"/>
            </w:pPr>
            <w:r>
              <w:rPr>
                <w:rStyle w:val="Bodytext217ptBold"/>
              </w:rPr>
              <w:t>Celkem bez DPH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510" w:rsidRDefault="0036093F">
            <w:pPr>
              <w:pStyle w:val="Bodytext20"/>
              <w:framePr w:w="14563" w:h="3091" w:wrap="none" w:vAnchor="page" w:hAnchor="page" w:x="1051" w:y="4537"/>
              <w:shd w:val="clear" w:color="auto" w:fill="auto"/>
              <w:spacing w:line="380" w:lineRule="exact"/>
              <w:ind w:left="200"/>
            </w:pPr>
            <w:r>
              <w:rPr>
                <w:rStyle w:val="Bodytext217ptBold"/>
              </w:rPr>
              <w:t>199 980 Kč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510" w:rsidRDefault="00F06510">
            <w:pPr>
              <w:framePr w:w="14563" w:h="3091" w:wrap="none" w:vAnchor="page" w:hAnchor="page" w:x="1051" w:y="4537"/>
              <w:rPr>
                <w:sz w:val="10"/>
                <w:szCs w:val="10"/>
              </w:rPr>
            </w:pPr>
          </w:p>
        </w:tc>
      </w:tr>
    </w:tbl>
    <w:p w:rsidR="00F06510" w:rsidRDefault="00F06510">
      <w:pPr>
        <w:rPr>
          <w:sz w:val="2"/>
          <w:szCs w:val="2"/>
        </w:rPr>
      </w:pPr>
    </w:p>
    <w:sectPr w:rsidR="00F0651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3F" w:rsidRDefault="0036093F">
      <w:r>
        <w:separator/>
      </w:r>
    </w:p>
  </w:endnote>
  <w:endnote w:type="continuationSeparator" w:id="0">
    <w:p w:rsidR="0036093F" w:rsidRDefault="0036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odchiangUPC">
    <w:altName w:val="Times New Roman"/>
    <w:panose1 w:val="020206030504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3F" w:rsidRDefault="0036093F"/>
  </w:footnote>
  <w:footnote w:type="continuationSeparator" w:id="0">
    <w:p w:rsidR="0036093F" w:rsidRDefault="003609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10"/>
    <w:rsid w:val="0036093F"/>
    <w:rsid w:val="008E2A55"/>
    <w:rsid w:val="00F0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25E9F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KodchiangUPC" w:eastAsia="KodchiangUPC" w:hAnsi="KodchiangUPC" w:cs="Kodchiang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7ptBold">
    <w:name w:val="Body text (2) + 1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626" w:lineRule="exact"/>
      <w:outlineLvl w:val="0"/>
    </w:pPr>
    <w:rPr>
      <w:rFonts w:ascii="Tahoma" w:eastAsia="Tahoma" w:hAnsi="Tahoma" w:cs="Tahoma"/>
      <w:b/>
      <w:bCs/>
      <w:sz w:val="54"/>
      <w:szCs w:val="5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446" w:lineRule="exact"/>
      <w:jc w:val="right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6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1" w:lineRule="exact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1" w:lineRule="exact"/>
      <w:jc w:val="center"/>
    </w:pPr>
    <w:rPr>
      <w:rFonts w:ascii="KodchiangUPC" w:eastAsia="KodchiangUPC" w:hAnsi="KodchiangUPC" w:cs="KodchiangUPC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25E9F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KodchiangUPC" w:eastAsia="KodchiangUPC" w:hAnsi="KodchiangUPC" w:cs="Kodchiang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7ptBold">
    <w:name w:val="Body text (2) + 1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626" w:lineRule="exact"/>
      <w:outlineLvl w:val="0"/>
    </w:pPr>
    <w:rPr>
      <w:rFonts w:ascii="Tahoma" w:eastAsia="Tahoma" w:hAnsi="Tahoma" w:cs="Tahoma"/>
      <w:b/>
      <w:bCs/>
      <w:sz w:val="54"/>
      <w:szCs w:val="5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446" w:lineRule="exact"/>
      <w:jc w:val="right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6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1" w:lineRule="exact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1" w:lineRule="exact"/>
      <w:jc w:val="center"/>
    </w:pPr>
    <w:rPr>
      <w:rFonts w:ascii="KodchiangUPC" w:eastAsia="KodchiangUPC" w:hAnsi="KodchiangUPC" w:cs="KodchiangUP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ieslar.r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Bazgierová Iva</dc:creator>
  <cp:lastModifiedBy>Bazgierová Iva</cp:lastModifiedBy>
  <cp:revision>2</cp:revision>
  <dcterms:created xsi:type="dcterms:W3CDTF">2018-07-23T11:52:00Z</dcterms:created>
  <dcterms:modified xsi:type="dcterms:W3CDTF">2018-07-23T11:52:00Z</dcterms:modified>
</cp:coreProperties>
</file>