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74C8" w14:textId="132E20B4" w:rsidR="00146660" w:rsidRDefault="006504D0" w:rsidP="006504D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D0535A">
        <w:rPr>
          <w:rFonts w:ascii="Times New Roman" w:eastAsia="Times New Roman" w:hAnsi="Times New Roman"/>
          <w:lang w:eastAsia="cs-CZ"/>
        </w:rPr>
        <w:t xml:space="preserve">Evidenční číslo smlouvy: </w:t>
      </w:r>
      <w:r>
        <w:rPr>
          <w:rFonts w:ascii="Times New Roman" w:eastAsia="Times New Roman" w:hAnsi="Times New Roman"/>
          <w:color w:val="FF0000"/>
          <w:lang w:eastAsia="cs-CZ"/>
        </w:rPr>
        <w:t xml:space="preserve"> </w:t>
      </w:r>
    </w:p>
    <w:p w14:paraId="17051944" w14:textId="77777777" w:rsidR="00146660" w:rsidRDefault="0014666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9A6FBE1" w14:textId="77777777" w:rsidR="00146660" w:rsidRDefault="00D0535A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</w:p>
    <w:p w14:paraId="5619A6BA" w14:textId="77777777" w:rsidR="00146660" w:rsidRDefault="00D0535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o poskytnutí dotace z rozpočtu Karlovarského kraje</w:t>
      </w:r>
    </w:p>
    <w:p w14:paraId="311E0C0E" w14:textId="77777777" w:rsidR="00146660" w:rsidRDefault="00D0535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68C150CC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B458889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14:paraId="1593D53A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367C34C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Karlovarský kraj</w:t>
      </w:r>
    </w:p>
    <w:p w14:paraId="1EBC216A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Sídlo: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14:paraId="325A9B14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Identifikační číslo:</w:t>
      </w:r>
      <w:r>
        <w:rPr>
          <w:rFonts w:ascii="Times New Roman" w:eastAsia="Times New Roman" w:hAnsi="Times New Roman"/>
          <w:lang w:eastAsia="cs-CZ"/>
        </w:rPr>
        <w:tab/>
        <w:t>70891168</w:t>
      </w:r>
    </w:p>
    <w:p w14:paraId="58FC1140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DIČ: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CZ70891168</w:t>
      </w:r>
    </w:p>
    <w:p w14:paraId="592EACEC" w14:textId="5A75050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  <w:r w:rsidR="00C868FB">
        <w:rPr>
          <w:rFonts w:ascii="Times New Roman" w:eastAsia="Times New Roman" w:hAnsi="Times New Roman"/>
          <w:lang w:eastAsia="cs-CZ"/>
        </w:rPr>
        <w:t>, členem rady</w:t>
      </w:r>
    </w:p>
    <w:p w14:paraId="6EACD06B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  <w:t>Komerční banka, a.s., pobočka Karlovy Vary</w:t>
      </w:r>
    </w:p>
    <w:p w14:paraId="76C48E48" w14:textId="1046409D" w:rsidR="00146660" w:rsidRPr="00C868FB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6D935245" w14:textId="14389DFC" w:rsidR="00C868FB" w:rsidRPr="00C868FB" w:rsidRDefault="00C868FB" w:rsidP="00C868F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47C8137B" w14:textId="36AE9CB4" w:rsidR="00C868FB" w:rsidRPr="00C868FB" w:rsidRDefault="00C868FB" w:rsidP="00C868F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61A03D9B" w14:textId="5066D90C" w:rsidR="00C868FB" w:rsidRPr="00C868FB" w:rsidRDefault="00C868FB" w:rsidP="00C868F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Pr="00C868FB"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5B686109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Datová schránka:</w:t>
      </w:r>
      <w:r>
        <w:rPr>
          <w:rFonts w:ascii="Times New Roman" w:eastAsia="Times New Roman" w:hAnsi="Times New Roman"/>
          <w:lang w:eastAsia="cs-CZ"/>
        </w:rPr>
        <w:tab/>
        <w:t>siqbxt2</w:t>
      </w:r>
    </w:p>
    <w:p w14:paraId="4E5F8E87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Administrující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odbor:</w:t>
      </w:r>
      <w:r>
        <w:rPr>
          <w:rFonts w:ascii="Times New Roman" w:eastAsia="Times New Roman" w:hAnsi="Times New Roman"/>
          <w:lang w:eastAsia="cs-CZ"/>
        </w:rPr>
        <w:tab/>
      </w:r>
      <w:r w:rsidR="00C868FB">
        <w:rPr>
          <w:rFonts w:ascii="Times New Roman" w:eastAsia="Times New Roman" w:hAnsi="Times New Roman"/>
          <w:lang w:eastAsia="cs-CZ"/>
        </w:rPr>
        <w:t>životního prostředí a zemědělství</w:t>
      </w:r>
    </w:p>
    <w:p w14:paraId="42EBBF56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9182E77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(dále jen „poskytovatel“)</w:t>
      </w:r>
    </w:p>
    <w:p w14:paraId="5FBB7E78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6EFA95F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</w:t>
      </w:r>
    </w:p>
    <w:p w14:paraId="23416AF2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039427B" w14:textId="039FE837" w:rsidR="00146660" w:rsidRPr="00101CD0" w:rsidRDefault="00583B6F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Loketské městské lesy</w:t>
      </w:r>
      <w:r w:rsidR="000B2A2A">
        <w:rPr>
          <w:rFonts w:ascii="Times New Roman" w:eastAsia="Times New Roman" w:hAnsi="Times New Roman"/>
          <w:b/>
          <w:bCs/>
          <w:lang w:eastAsia="cs-CZ"/>
        </w:rPr>
        <w:t xml:space="preserve"> s.r.o.</w:t>
      </w:r>
    </w:p>
    <w:p w14:paraId="3FB857F4" w14:textId="22378DED" w:rsidR="00146660" w:rsidRDefault="00D0535A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Adresa sídla:</w:t>
      </w:r>
      <w:r>
        <w:rPr>
          <w:rFonts w:ascii="Times New Roman" w:eastAsia="Times New Roman" w:hAnsi="Times New Roman"/>
          <w:bCs/>
          <w:lang w:eastAsia="cs-CZ"/>
        </w:rPr>
        <w:tab/>
      </w:r>
      <w:r w:rsidR="00583B6F">
        <w:rPr>
          <w:rFonts w:ascii="Times New Roman" w:eastAsia="Times New Roman" w:hAnsi="Times New Roman"/>
          <w:bCs/>
          <w:lang w:eastAsia="cs-CZ"/>
        </w:rPr>
        <w:t>Dvory 31, 357 33 Loket</w:t>
      </w:r>
    </w:p>
    <w:p w14:paraId="1E12FB5E" w14:textId="5D98ADD7" w:rsidR="00146660" w:rsidRDefault="00D0535A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</w:r>
      <w:r w:rsidR="00583B6F" w:rsidRPr="00583B6F">
        <w:rPr>
          <w:rFonts w:ascii="Times New Roman" w:eastAsia="Times New Roman" w:hAnsi="Times New Roman"/>
          <w:bCs/>
          <w:lang w:eastAsia="cs-CZ"/>
        </w:rPr>
        <w:t>25213342</w:t>
      </w:r>
    </w:p>
    <w:p w14:paraId="594202D0" w14:textId="66E533A7" w:rsidR="00146660" w:rsidRDefault="00D0535A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</w:r>
      <w:r w:rsidR="00101CD0">
        <w:rPr>
          <w:rFonts w:ascii="Times New Roman" w:eastAsia="Times New Roman" w:hAnsi="Times New Roman"/>
          <w:bCs/>
          <w:lang w:eastAsia="cs-CZ"/>
        </w:rPr>
        <w:t>CZ</w:t>
      </w:r>
      <w:r w:rsidR="00583B6F" w:rsidRPr="00583B6F">
        <w:t xml:space="preserve"> </w:t>
      </w:r>
      <w:r w:rsidR="00583B6F" w:rsidRPr="00583B6F">
        <w:rPr>
          <w:rFonts w:ascii="Times New Roman" w:eastAsia="Times New Roman" w:hAnsi="Times New Roman"/>
          <w:bCs/>
          <w:lang w:eastAsia="cs-CZ"/>
        </w:rPr>
        <w:t>25213342</w:t>
      </w:r>
    </w:p>
    <w:p w14:paraId="5472D235" w14:textId="5C57FF63" w:rsidR="00146660" w:rsidRDefault="00D0535A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</w:r>
      <w:r w:rsidR="00092868">
        <w:rPr>
          <w:rFonts w:ascii="Times New Roman" w:eastAsia="Times New Roman" w:hAnsi="Times New Roman"/>
          <w:bCs/>
          <w:lang w:eastAsia="cs-CZ"/>
        </w:rPr>
        <w:t>společnost s ručením omezeným</w:t>
      </w:r>
    </w:p>
    <w:p w14:paraId="53F723A1" w14:textId="47F9495D" w:rsidR="00146660" w:rsidRDefault="00D0535A">
      <w:pPr>
        <w:tabs>
          <w:tab w:val="left" w:pos="2127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  <w:r w:rsidR="00101CD0">
        <w:rPr>
          <w:rFonts w:ascii="Times New Roman" w:eastAsia="Times New Roman" w:hAnsi="Times New Roman"/>
          <w:lang w:eastAsia="cs-CZ"/>
        </w:rPr>
        <w:t xml:space="preserve">, </w:t>
      </w:r>
      <w:r w:rsidR="000B2A2A">
        <w:rPr>
          <w:rFonts w:ascii="Times New Roman" w:eastAsia="Times New Roman" w:hAnsi="Times New Roman"/>
          <w:lang w:eastAsia="cs-CZ"/>
        </w:rPr>
        <w:t>jednatelem</w:t>
      </w:r>
    </w:p>
    <w:p w14:paraId="4528505F" w14:textId="7EE98D93" w:rsidR="00092868" w:rsidRDefault="00092868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092868">
        <w:rPr>
          <w:rFonts w:ascii="Times New Roman" w:eastAsia="Arial Unicode MS" w:hAnsi="Times New Roman"/>
          <w:lang w:eastAsia="cs-CZ"/>
        </w:rPr>
        <w:t xml:space="preserve">C 9153 </w:t>
      </w:r>
      <w:r w:rsidRPr="00B21172">
        <w:rPr>
          <w:rFonts w:ascii="Times New Roman" w:eastAsia="Arial Unicode MS" w:hAnsi="Times New Roman"/>
          <w:lang w:eastAsia="cs-CZ"/>
        </w:rPr>
        <w:t>vedená u Krajského soudu v</w:t>
      </w:r>
      <w:r>
        <w:rPr>
          <w:rFonts w:ascii="Times New Roman" w:eastAsia="Arial Unicode MS" w:hAnsi="Times New Roman"/>
          <w:lang w:eastAsia="cs-CZ"/>
        </w:rPr>
        <w:t> </w:t>
      </w:r>
      <w:r w:rsidRPr="00B21172">
        <w:rPr>
          <w:rFonts w:ascii="Times New Roman" w:eastAsia="Arial Unicode MS" w:hAnsi="Times New Roman"/>
          <w:lang w:eastAsia="cs-CZ"/>
        </w:rPr>
        <w:t>Plzni</w:t>
      </w:r>
    </w:p>
    <w:p w14:paraId="73AB1381" w14:textId="4B34D6FC" w:rsidR="00146660" w:rsidRDefault="00D0535A">
      <w:pPr>
        <w:tabs>
          <w:tab w:val="left" w:pos="2127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</w:r>
      <w:r w:rsidR="000B2A2A">
        <w:rPr>
          <w:rFonts w:ascii="Times New Roman" w:eastAsia="Times New Roman" w:hAnsi="Times New Roman"/>
          <w:lang w:eastAsia="cs-CZ"/>
        </w:rPr>
        <w:t>ČSOB, a.s.</w:t>
      </w:r>
    </w:p>
    <w:p w14:paraId="05182C69" w14:textId="5244A76A" w:rsidR="00146660" w:rsidRDefault="00D0535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Číslo bankovního účtu:</w:t>
      </w:r>
      <w:r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0B6C6508" w14:textId="73A74F4F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E179C8">
        <w:rPr>
          <w:rFonts w:ascii="Times New Roman" w:eastAsia="Times New Roman" w:hAnsi="Times New Roman"/>
          <w:lang w:eastAsia="cs-CZ"/>
        </w:rPr>
        <w:t>XXXXX</w:t>
      </w:r>
    </w:p>
    <w:p w14:paraId="586C8FD0" w14:textId="2AE95971" w:rsidR="00146660" w:rsidRDefault="000B2A2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</w:t>
      </w:r>
      <w:r w:rsidR="00101CD0">
        <w:rPr>
          <w:rFonts w:ascii="Times New Roman" w:eastAsia="Times New Roman" w:hAnsi="Times New Roman"/>
          <w:lang w:eastAsia="cs-CZ"/>
        </w:rPr>
        <w:t xml:space="preserve">ude uplatňovat odpočet </w:t>
      </w:r>
      <w:r w:rsidR="00D0535A">
        <w:rPr>
          <w:rFonts w:ascii="Times New Roman" w:eastAsia="Times New Roman" w:hAnsi="Times New Roman"/>
          <w:lang w:eastAsia="cs-CZ"/>
        </w:rPr>
        <w:t>DPH.</w:t>
      </w:r>
    </w:p>
    <w:p w14:paraId="1E2108E1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5E74A1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(dále jen „příjemce“)</w:t>
      </w:r>
    </w:p>
    <w:p w14:paraId="66AD3CF9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08F94C" w14:textId="77777777" w:rsidR="00146660" w:rsidRDefault="00D0535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36508E1C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B68962C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0655F333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2A5F9D82" w14:textId="77777777" w:rsidR="00146660" w:rsidRPr="00337319" w:rsidRDefault="00D0535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337319">
        <w:rPr>
          <w:rFonts w:ascii="Times New Roman" w:eastAsia="Arial Unicode MS" w:hAnsi="Times New Roman"/>
          <w:lang w:eastAsia="cs-CZ"/>
        </w:rPr>
        <w:t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likvidaci invazních druhů rostlin v Karlovarském kraji (dále jen „dotační program“) poskytovatel poskytuje příjemci dotaci na účel uvedený v článku II. této smlouvy a příjemce tuto dotaci přijímá.</w:t>
      </w:r>
    </w:p>
    <w:p w14:paraId="312A3D9F" w14:textId="77777777" w:rsidR="00146660" w:rsidRDefault="0014666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C8ADBD9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3620DA91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256DB223" w14:textId="6CE2C602" w:rsidR="00146660" w:rsidRDefault="00D0535A" w:rsidP="00583B6F">
      <w:pPr>
        <w:pStyle w:val="Normlnweb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poskytuje příjemci v kalendářním roce 2018 dotaci z rozpočtu poskytovatele ve výši </w:t>
      </w:r>
      <w:r w:rsidR="00583B6F">
        <w:rPr>
          <w:b/>
          <w:sz w:val="22"/>
          <w:szCs w:val="22"/>
        </w:rPr>
        <w:t>74 758</w:t>
      </w:r>
      <w:r w:rsidR="00130B94">
        <w:rPr>
          <w:b/>
          <w:sz w:val="22"/>
          <w:szCs w:val="22"/>
        </w:rPr>
        <w:t>,</w:t>
      </w:r>
      <w:r w:rsidR="00583B6F">
        <w:rPr>
          <w:b/>
          <w:sz w:val="22"/>
          <w:szCs w:val="22"/>
        </w:rPr>
        <w:t>68</w:t>
      </w:r>
      <w:r w:rsidR="00860D58" w:rsidRPr="00D21498">
        <w:rPr>
          <w:b/>
          <w:sz w:val="22"/>
          <w:szCs w:val="22"/>
        </w:rPr>
        <w:t>-</w:t>
      </w:r>
      <w:r w:rsidRPr="00D21498">
        <w:rPr>
          <w:b/>
          <w:sz w:val="22"/>
          <w:szCs w:val="22"/>
        </w:rPr>
        <w:t xml:space="preserve"> Kč</w:t>
      </w:r>
      <w:r w:rsidR="00860D58" w:rsidRPr="00D21498">
        <w:rPr>
          <w:b/>
          <w:sz w:val="22"/>
          <w:szCs w:val="22"/>
        </w:rPr>
        <w:t xml:space="preserve"> </w:t>
      </w:r>
      <w:r w:rsidR="000B2A2A">
        <w:rPr>
          <w:b/>
          <w:sz w:val="22"/>
          <w:szCs w:val="22"/>
        </w:rPr>
        <w:t>bez</w:t>
      </w:r>
      <w:r w:rsidR="00860D58" w:rsidRPr="00D21498">
        <w:rPr>
          <w:b/>
          <w:sz w:val="22"/>
          <w:szCs w:val="22"/>
        </w:rPr>
        <w:t xml:space="preserve"> DPH</w:t>
      </w:r>
      <w:r>
        <w:rPr>
          <w:sz w:val="22"/>
          <w:szCs w:val="22"/>
        </w:rPr>
        <w:t xml:space="preserve"> (slovy: </w:t>
      </w:r>
      <w:r w:rsidR="00583B6F" w:rsidRPr="00583B6F">
        <w:rPr>
          <w:sz w:val="22"/>
          <w:szCs w:val="22"/>
        </w:rPr>
        <w:t xml:space="preserve">sedmdesát čtyři tisíc sedm set padesát osm korun českých šedesát </w:t>
      </w:r>
      <w:r w:rsidR="00583B6F" w:rsidRPr="00583B6F">
        <w:rPr>
          <w:sz w:val="22"/>
          <w:szCs w:val="22"/>
        </w:rPr>
        <w:lastRenderedPageBreak/>
        <w:t>osm haléřů</w:t>
      </w:r>
      <w:r>
        <w:rPr>
          <w:sz w:val="22"/>
          <w:szCs w:val="22"/>
        </w:rPr>
        <w:t xml:space="preserve">) </w:t>
      </w:r>
      <w:r>
        <w:rPr>
          <w:iCs/>
          <w:sz w:val="22"/>
          <w:szCs w:val="22"/>
        </w:rPr>
        <w:t xml:space="preserve">na </w:t>
      </w:r>
      <w:r>
        <w:rPr>
          <w:sz w:val="22"/>
          <w:szCs w:val="22"/>
        </w:rPr>
        <w:t>realizaci likvidace invazních druhů rostlin v Karlovarském kraji. Předmětem dotace je likvidace dle Metodiky (jež je přílohou vyhlášení dotačního programu):</w:t>
      </w:r>
    </w:p>
    <w:p w14:paraId="7C57AACC" w14:textId="77777777" w:rsidR="00146660" w:rsidRDefault="00D0535A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bolševníku velkolepého (dále jen „bolševník“),</w:t>
      </w:r>
    </w:p>
    <w:p w14:paraId="4A405C41" w14:textId="77777777" w:rsidR="00146660" w:rsidRDefault="00D0535A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křídlatky sachalinské, japonské a české (dále jen „křídlatky“),</w:t>
      </w:r>
    </w:p>
    <w:p w14:paraId="2220051A" w14:textId="77777777" w:rsidR="00146660" w:rsidRDefault="00D0535A">
      <w:pPr>
        <w:pStyle w:val="Normln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netýkavky žláznaté (dále jen „netýkavka“).</w:t>
      </w:r>
    </w:p>
    <w:p w14:paraId="417087F8" w14:textId="77777777" w:rsidR="00146660" w:rsidRDefault="00D0535A">
      <w:pPr>
        <w:pStyle w:val="Normlnweb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Výše dotace může být snížena s ohledem na maximální přípustnou výši podpory v režimu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a to dle aktuálního stavu v registru podpor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v den podpisu smlouvy.</w:t>
      </w:r>
    </w:p>
    <w:p w14:paraId="151D008D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14AAD154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782D4E84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7D2A1755" w14:textId="39279DB3" w:rsidR="00146660" w:rsidRDefault="00D0535A" w:rsidP="002007C5">
      <w:pPr>
        <w:numPr>
          <w:ilvl w:val="0"/>
          <w:numId w:val="6"/>
        </w:numPr>
        <w:spacing w:after="0" w:line="240" w:lineRule="auto"/>
        <w:jc w:val="both"/>
        <w:rPr>
          <w:rFonts w:eastAsia="Arial Unicode MS"/>
        </w:rPr>
      </w:pPr>
      <w:r>
        <w:rPr>
          <w:rFonts w:ascii="Times New Roman" w:eastAsia="Arial Unicode MS" w:hAnsi="Times New Roman"/>
        </w:rPr>
        <w:t>Dotace bude příjemci poukázána formou bezhotovostního převodu</w:t>
      </w:r>
      <w:r>
        <w:rPr>
          <w:rFonts w:ascii="Times New Roman" w:eastAsia="Arial Unicode MS" w:hAnsi="Times New Roman"/>
          <w:b/>
          <w:color w:val="FF0000"/>
        </w:rPr>
        <w:t xml:space="preserve"> </w:t>
      </w:r>
      <w:r>
        <w:rPr>
          <w:rFonts w:ascii="Times New Roman" w:eastAsia="Arial Unicode MS" w:hAnsi="Times New Roman"/>
        </w:rPr>
        <w:t xml:space="preserve">na bankovní účet příjemce </w:t>
      </w:r>
      <w:r>
        <w:rPr>
          <w:rFonts w:ascii="Times New Roman" w:eastAsia="Arial Unicode MS" w:hAnsi="Times New Roman"/>
          <w:lang w:eastAsia="cs-CZ"/>
        </w:rPr>
        <w:t>uvedený výše v této smlouvě</w:t>
      </w:r>
      <w:r>
        <w:rPr>
          <w:rFonts w:ascii="Times New Roman" w:eastAsia="Arial Unicode MS" w:hAnsi="Times New Roman"/>
        </w:rPr>
        <w:t xml:space="preserve">, maximálně ve 2 etapách od uzavření smlouvy. Podkladem k tomuto určení způsobu proplacení dotace je vyplněný formulář žádosti o platbu, jež je přílohou vyhlášení dotačního programu a dále protokol o kontrole provedených prací. </w:t>
      </w:r>
      <w:r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E179C8">
        <w:rPr>
          <w:rFonts w:ascii="Times New Roman" w:eastAsia="Times New Roman" w:hAnsi="Times New Roman"/>
          <w:lang w:eastAsia="cs-CZ"/>
        </w:rPr>
        <w:t>XXXXX</w:t>
      </w:r>
      <w:r>
        <w:rPr>
          <w:rFonts w:ascii="Times New Roman" w:eastAsia="Arial Unicode MS" w:hAnsi="Times New Roman"/>
          <w:lang w:eastAsia="cs-CZ"/>
        </w:rPr>
        <w:t xml:space="preserve"> dále jen („variabilní symbol“) a specifickým symbolem </w:t>
      </w:r>
      <w:r w:rsidR="00E179C8">
        <w:rPr>
          <w:rFonts w:ascii="Times New Roman" w:eastAsia="Times New Roman" w:hAnsi="Times New Roman"/>
          <w:lang w:eastAsia="cs-CZ"/>
        </w:rPr>
        <w:t>XXXXX</w:t>
      </w:r>
      <w:r>
        <w:rPr>
          <w:rFonts w:ascii="Times New Roman" w:eastAsia="Arial Unicode MS" w:hAnsi="Times New Roman"/>
          <w:lang w:eastAsia="cs-CZ"/>
        </w:rPr>
        <w:t xml:space="preserve"> (dále jen „specifický symbol“).</w:t>
      </w:r>
    </w:p>
    <w:p w14:paraId="52CE21F9" w14:textId="77777777" w:rsidR="00146660" w:rsidRDefault="00146660">
      <w:pPr>
        <w:spacing w:after="0" w:line="240" w:lineRule="auto"/>
        <w:ind w:left="360"/>
        <w:jc w:val="both"/>
        <w:rPr>
          <w:rFonts w:eastAsia="Arial Unicode MS"/>
        </w:rPr>
      </w:pPr>
    </w:p>
    <w:p w14:paraId="48FA1E4E" w14:textId="77777777" w:rsidR="00146660" w:rsidRDefault="00D053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Způsob proplácení dotace:</w:t>
      </w:r>
    </w:p>
    <w:p w14:paraId="3E696FCD" w14:textId="77777777" w:rsidR="00146660" w:rsidRDefault="00D0535A">
      <w:pPr>
        <w:pStyle w:val="Normlnweb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rFonts w:eastAsia="Arial Unicode MS"/>
          <w:b/>
          <w:sz w:val="22"/>
          <w:szCs w:val="22"/>
          <w:lang w:eastAsia="en-US"/>
        </w:rPr>
        <w:t>proplácení dotace jednorázově</w:t>
      </w:r>
      <w:r>
        <w:rPr>
          <w:rFonts w:eastAsia="Arial Unicode MS"/>
          <w:sz w:val="22"/>
          <w:szCs w:val="22"/>
          <w:lang w:eastAsia="en-US"/>
        </w:rPr>
        <w:t xml:space="preserve"> - po dokončení prací k 30. 9. příslušného kalendářního roku.</w:t>
      </w:r>
    </w:p>
    <w:p w14:paraId="6DF2E0AA" w14:textId="77777777" w:rsidR="00146660" w:rsidRDefault="00D0535A">
      <w:pPr>
        <w:pStyle w:val="Odstavec"/>
        <w:ind w:left="567"/>
      </w:pPr>
      <w:r>
        <w:rPr>
          <w:b/>
        </w:rPr>
        <w:t>Podkladem k úhradě finančních prostředků je</w:t>
      </w:r>
      <w:r>
        <w:t>:</w:t>
      </w:r>
    </w:p>
    <w:p w14:paraId="19A1C7C1" w14:textId="77777777" w:rsidR="00146660" w:rsidRDefault="00D0535A">
      <w:pPr>
        <w:pStyle w:val="Odstavec"/>
        <w:numPr>
          <w:ilvl w:val="0"/>
          <w:numId w:val="14"/>
        </w:numPr>
        <w:ind w:left="851" w:hanging="230"/>
      </w:pPr>
      <w:r>
        <w:rPr>
          <w:b/>
        </w:rPr>
        <w:t>žádost o platbu</w:t>
      </w:r>
      <w:r>
        <w:t xml:space="preserve">, kterou příjemce podá </w:t>
      </w:r>
      <w:r>
        <w:rPr>
          <w:b/>
        </w:rPr>
        <w:t xml:space="preserve">po dokončení prací 2. etapy </w:t>
      </w:r>
      <w:r>
        <w:t>(tj.</w:t>
      </w:r>
      <w:r>
        <w:rPr>
          <w:b/>
        </w:rPr>
        <w:t xml:space="preserve"> </w:t>
      </w:r>
      <w:r>
        <w:t xml:space="preserve">dle metodiky k 30. 9. příslušného kalendářního roku). Žádost o platbu musí být podána maximálně do 15. kalendářního dne od konce 2. etapy, tedy </w:t>
      </w:r>
      <w:r>
        <w:rPr>
          <w:b/>
        </w:rPr>
        <w:t>do 15. 10. 2018.</w:t>
      </w:r>
    </w:p>
    <w:p w14:paraId="6E790376" w14:textId="77777777" w:rsidR="00146660" w:rsidRDefault="00D0535A">
      <w:pPr>
        <w:pStyle w:val="Odstavec"/>
        <w:numPr>
          <w:ilvl w:val="0"/>
          <w:numId w:val="14"/>
        </w:numPr>
        <w:ind w:left="851" w:hanging="230"/>
      </w:pPr>
      <w:r>
        <w:rPr>
          <w:b/>
        </w:rPr>
        <w:t>poskytovatelem</w:t>
      </w:r>
      <w:r>
        <w:t xml:space="preserve"> vystavené protokoly - </w:t>
      </w:r>
      <w:r>
        <w:rPr>
          <w:b/>
        </w:rPr>
        <w:t>protokol o průběžné kontrole</w:t>
      </w:r>
      <w:r>
        <w:t xml:space="preserve"> prací provedených k 30. 6. a </w:t>
      </w:r>
      <w:r>
        <w:rPr>
          <w:b/>
        </w:rPr>
        <w:t>předávací protokol prací</w:t>
      </w:r>
      <w:r>
        <w:t xml:space="preserve"> k 30. 9. příslušného kalendářního roku, které vystaví poskytovatel dotace na základě provedené kontroly žádosti o platbu.</w:t>
      </w:r>
    </w:p>
    <w:p w14:paraId="3386C998" w14:textId="77777777" w:rsidR="00146660" w:rsidRDefault="00D0535A">
      <w:pPr>
        <w:pStyle w:val="Normlnweb"/>
        <w:ind w:left="360"/>
        <w:jc w:val="both"/>
        <w:rPr>
          <w:sz w:val="22"/>
          <w:szCs w:val="22"/>
        </w:rPr>
      </w:pPr>
      <w:r>
        <w:rPr>
          <w:rFonts w:eastAsia="Arial Unicode MS"/>
          <w:b/>
          <w:sz w:val="22"/>
          <w:szCs w:val="22"/>
          <w:lang w:eastAsia="en-US"/>
        </w:rPr>
        <w:t>b) proplácení</w:t>
      </w:r>
      <w:r>
        <w:rPr>
          <w:b/>
          <w:sz w:val="22"/>
          <w:szCs w:val="22"/>
        </w:rPr>
        <w:t xml:space="preserve"> dotace ve 2 etapách:</w:t>
      </w:r>
    </w:p>
    <w:p w14:paraId="54F08C48" w14:textId="77777777" w:rsidR="00146660" w:rsidRDefault="00D0535A">
      <w:pPr>
        <w:pStyle w:val="Odstavec"/>
        <w:numPr>
          <w:ilvl w:val="0"/>
          <w:numId w:val="15"/>
        </w:numPr>
      </w:pPr>
      <w:r>
        <w:t>etapa zahrnuje práce provedené k 30. 6. příslušného kalendářního roku.</w:t>
      </w:r>
    </w:p>
    <w:p w14:paraId="2B428B9C" w14:textId="77777777" w:rsidR="00146660" w:rsidRDefault="00D0535A">
      <w:pPr>
        <w:pStyle w:val="Odstavec"/>
        <w:ind w:left="927"/>
      </w:pPr>
      <w:r>
        <w:t xml:space="preserve">V 1. etapě lze čerpat pouze na opatření prováděná dle metodiky do 30. 6., tedy na </w:t>
      </w:r>
      <w:r>
        <w:rPr>
          <w:b/>
        </w:rPr>
        <w:t>obě metody likvidace bolševníku</w:t>
      </w:r>
      <w:r>
        <w:t xml:space="preserve"> a </w:t>
      </w:r>
      <w:r>
        <w:rPr>
          <w:b/>
        </w:rPr>
        <w:t>na mechanickou likvidaci křídlatek</w:t>
      </w:r>
      <w:r>
        <w:t xml:space="preserve"> (kromě ploch v režimu ekozemědělství) a to maximálně do výše 50 % dotované částky. Zbylých 50 % dotace je uvolněno až po řádném dokončení 2. etapy bez vad a nedodělků. Vzhledem k metodice likvidace </w:t>
      </w:r>
      <w:r>
        <w:rPr>
          <w:b/>
        </w:rPr>
        <w:t>bolševníku a křídlatek na plochách v režimu ekozemědělství</w:t>
      </w:r>
      <w:r>
        <w:t xml:space="preserve">, stejně tak jako u </w:t>
      </w:r>
      <w:r>
        <w:rPr>
          <w:b/>
        </w:rPr>
        <w:t>chemické likvidace křídlatek</w:t>
      </w:r>
      <w:r>
        <w:t xml:space="preserve"> a u </w:t>
      </w:r>
      <w:r>
        <w:rPr>
          <w:b/>
        </w:rPr>
        <w:t>veškeré likvidace netýkavky</w:t>
      </w:r>
      <w:r>
        <w:t>, lze podat žádost o platbu na celou dotovanou částku až po převzetí 2. etapy prací k 30. 9. bez vad a nedodělků, a to ve výši 100</w:t>
      </w:r>
      <w:r w:rsidR="000D68E8">
        <w:t xml:space="preserve"> </w:t>
      </w:r>
      <w:r>
        <w:t xml:space="preserve">% dotované částky. </w:t>
      </w:r>
    </w:p>
    <w:p w14:paraId="32F2B744" w14:textId="77777777" w:rsidR="00146660" w:rsidRDefault="00D0535A">
      <w:pPr>
        <w:pStyle w:val="Odstavec"/>
        <w:numPr>
          <w:ilvl w:val="0"/>
          <w:numId w:val="15"/>
        </w:numPr>
      </w:pPr>
      <w:r>
        <w:t>etapa zahrnuje práce provedené k 30. 9. příslušného kalendářního roku.</w:t>
      </w:r>
    </w:p>
    <w:p w14:paraId="246D6C25" w14:textId="77777777" w:rsidR="00146660" w:rsidRDefault="00D0535A">
      <w:pPr>
        <w:pStyle w:val="Odstavec"/>
        <w:ind w:left="567"/>
      </w:pPr>
      <w:r>
        <w:rPr>
          <w:b/>
        </w:rPr>
        <w:t>Podkladem k úhradě finančních prostředků je</w:t>
      </w:r>
      <w:r>
        <w:t>:</w:t>
      </w:r>
    </w:p>
    <w:p w14:paraId="14DA8303" w14:textId="77777777" w:rsidR="00146660" w:rsidRDefault="00D0535A">
      <w:pPr>
        <w:pStyle w:val="Odstavec"/>
        <w:numPr>
          <w:ilvl w:val="0"/>
          <w:numId w:val="14"/>
        </w:numPr>
        <w:ind w:left="851" w:hanging="230"/>
      </w:pPr>
      <w:r>
        <w:rPr>
          <w:b/>
        </w:rPr>
        <w:t>žádost o platbu</w:t>
      </w:r>
      <w:r>
        <w:t xml:space="preserve"> v každé etapě podaná příjemcem a </w:t>
      </w:r>
      <w:r>
        <w:rPr>
          <w:b/>
        </w:rPr>
        <w:t>předávací protokol</w:t>
      </w:r>
      <w:r>
        <w:t xml:space="preserve"> vystavený poskytovatelem. Předání prací</w:t>
      </w:r>
      <w:r>
        <w:rPr>
          <w:b/>
        </w:rPr>
        <w:t xml:space="preserve"> </w:t>
      </w:r>
      <w:r>
        <w:t xml:space="preserve">proběhne po etapách na základě žádosti o platbu podané příjemcem, a to vždy do 15. kalendářního dne od ukončení etapy, tj. </w:t>
      </w:r>
      <w:r>
        <w:rPr>
          <w:b/>
        </w:rPr>
        <w:t>do 15. 7.</w:t>
      </w:r>
      <w:r>
        <w:t xml:space="preserve"> pro 1. etapu, a </w:t>
      </w:r>
      <w:r>
        <w:rPr>
          <w:b/>
        </w:rPr>
        <w:t>do 15. 10.</w:t>
      </w:r>
      <w:r>
        <w:t xml:space="preserve"> pro 2. etapu. Tato ž</w:t>
      </w:r>
      <w:r>
        <w:rPr>
          <w:b/>
        </w:rPr>
        <w:t>ádost o platbu</w:t>
      </w:r>
      <w:r>
        <w:t xml:space="preserve"> se podává písemně na podatelnu kraje na formuláři, který je k dispozici jako příloha vyhlášení dotačního programu. Poskytovatel dotace do 30 dnů provede nebo zajistí provedení kontroly prací v terénu a převzaté či nepřevzaté práce uvede v </w:t>
      </w:r>
      <w:r>
        <w:rPr>
          <w:b/>
        </w:rPr>
        <w:t>předávacím protokolu</w:t>
      </w:r>
      <w:r>
        <w:t>, který zašle na vědomí příjemci dotace.</w:t>
      </w:r>
    </w:p>
    <w:p w14:paraId="1DE0CD14" w14:textId="77777777" w:rsidR="00146660" w:rsidRDefault="0014666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4283A94" w14:textId="77777777" w:rsidR="00146660" w:rsidRDefault="00D053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Převzít lze pouze práce provedené bez vad a nedodělků podle dokumentu Metodika likvidace invazních rostlin (dále jen „Metodika“) v příloze vyhlášení dotačního programu, a to co do způsobu i termínu provedení. Pro převzetí nebo nepřevzetí prací v jednotlivých etapách je rozhodující, zda stav lokality odpovídá Metodice. Na proplacení dotace za neprovedené nebo špatně provedené práce nemá příjemce nárok. Lhůta pro odstranění vad a nedodělků se nestanoví. Za neprovedené práce nebo práce s vadami a nedodělky v 1. etapě nemůže být </w:t>
      </w:r>
      <w:r>
        <w:rPr>
          <w:rFonts w:ascii="Times New Roman" w:eastAsia="Times New Roman" w:hAnsi="Times New Roman"/>
          <w:lang w:eastAsia="cs-CZ"/>
        </w:rPr>
        <w:lastRenderedPageBreak/>
        <w:t>přiznána dotace zpětně po ukončení 2. etapy, a to bez ohledu na to, zda jsou podávány žádosti o platbu jednorázově nebo po etapách.</w:t>
      </w:r>
    </w:p>
    <w:p w14:paraId="265C1017" w14:textId="77777777" w:rsidR="00146660" w:rsidRDefault="0014666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4E21168" w14:textId="77777777" w:rsidR="00146660" w:rsidRDefault="00D053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Jednotková cena uvedená v Rozpočtu je cenou za všechny pracovní operace dle Metodiky v průběhu celého kalendářního roku. V 1. etapě může být poskytnuta dotace pouze na opatření prováděná dle metodiky do 30. 6., tedy na obě metody likvidace bolševníku a na mechanickou likvidaci křídlatek a to maximálně do výše 50 % dotované částky, zbylých 50 % dotace je uvolněno až po řádném dokončení 2. etapy bez vad a nedodělků. Vzhledem k metodice likvidace bolševníku a křídlatek na plochách v režimu ekozemědělství, stejně jako u chemické likvidace křídlatek a u veškeré likvidace netýkavky lze podat žádost o platbu na celou dotovanou částku až po převzetí 2. etapy k 30. 9. bez vad a nedodělků, a to ve výši 100% dotované částky.</w:t>
      </w:r>
    </w:p>
    <w:p w14:paraId="5FC28E75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5E009E0" w14:textId="77777777" w:rsidR="00146660" w:rsidRDefault="00D0535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Na základě výsledku převzetí prací za danou etapu v předávacím protokolu bude do 15 dnů vyhotovení předávacího protokolu dotace poskytnuta. Maximální dotace na celoroční likvidaci invazních rostlin je 50 % nákladů, maximálně však 10 000 Kč vč. DPH/ ha (1 Kč vč. DPH/ m</w:t>
      </w:r>
      <w:r>
        <w:rPr>
          <w:rFonts w:ascii="Times New Roman" w:eastAsia="Times New Roman" w:hAnsi="Times New Roman"/>
          <w:vertAlign w:val="superscript"/>
          <w:lang w:eastAsia="cs-CZ"/>
        </w:rPr>
        <w:t>2</w:t>
      </w:r>
      <w:r>
        <w:rPr>
          <w:rFonts w:ascii="Times New Roman" w:eastAsia="Times New Roman" w:hAnsi="Times New Roman"/>
          <w:lang w:eastAsia="cs-CZ"/>
        </w:rPr>
        <w:t>).</w:t>
      </w:r>
    </w:p>
    <w:p w14:paraId="3EE7BB61" w14:textId="77777777" w:rsidR="00146660" w:rsidRDefault="0014666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B0C4C62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01DB24C5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4F1E52E3" w14:textId="50E14083" w:rsidR="00146660" w:rsidRPr="000151C5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Příjemce je povinen řídit se Pravidly pro příjem a hodnocení žádostí, poskytnutí a finančního vypořádání dotace z rozpočtu Karlovarského kraje programu na likvidaci invazních druhů rostlin v Karlovarském kraji schválenými Radou Karlovarského kraje usnesením </w:t>
      </w:r>
      <w:r w:rsidRPr="000151C5">
        <w:rPr>
          <w:rFonts w:ascii="Times New Roman" w:hAnsi="Times New Roman"/>
          <w:lang w:eastAsia="cs-CZ"/>
        </w:rPr>
        <w:t xml:space="preserve">číslo </w:t>
      </w:r>
      <w:r w:rsidR="000151C5" w:rsidRPr="000151C5">
        <w:rPr>
          <w:rFonts w:ascii="Times New Roman" w:hAnsi="Times New Roman"/>
          <w:lang w:eastAsia="cs-CZ"/>
        </w:rPr>
        <w:t xml:space="preserve">RK 1587/12/17 </w:t>
      </w:r>
      <w:r w:rsidRPr="000151C5">
        <w:rPr>
          <w:rFonts w:ascii="Times New Roman" w:hAnsi="Times New Roman"/>
          <w:lang w:eastAsia="cs-CZ"/>
        </w:rPr>
        <w:t xml:space="preserve">ze dne </w:t>
      </w:r>
      <w:r w:rsidR="000151C5">
        <w:rPr>
          <w:rFonts w:ascii="Times New Roman" w:hAnsi="Times New Roman"/>
          <w:lang w:eastAsia="cs-CZ"/>
        </w:rPr>
        <w:t>20. 12. 2017</w:t>
      </w:r>
      <w:r w:rsidRPr="000151C5">
        <w:rPr>
          <w:rFonts w:ascii="Times New Roman" w:hAnsi="Times New Roman"/>
          <w:lang w:eastAsia="cs-CZ"/>
        </w:rPr>
        <w:t>.</w:t>
      </w:r>
    </w:p>
    <w:p w14:paraId="595EA695" w14:textId="77777777" w:rsidR="00337319" w:rsidRDefault="00337319" w:rsidP="003373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14:paraId="1F2983FD" w14:textId="510F404E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Příjemce se zavazuje, že zabezpečí realizaci likvidace invazních druhů rostlin v Karlovarském kraji o celkové ploše </w:t>
      </w:r>
      <w:r w:rsidR="00583B6F">
        <w:rPr>
          <w:rFonts w:ascii="Times New Roman" w:hAnsi="Times New Roman"/>
          <w:b/>
        </w:rPr>
        <w:t>90 458</w:t>
      </w:r>
      <w:r>
        <w:rPr>
          <w:rFonts w:ascii="Times New Roman" w:hAnsi="Times New Roman"/>
        </w:rPr>
        <w:t xml:space="preserve"> m2 dle schválené žádosti o poskytnutí dotace z programu Karlovarského kraje a dále v souladu s Metodikou likvidace invazních rostlin, která je přílohou této smlouvy.</w:t>
      </w:r>
    </w:p>
    <w:p w14:paraId="16B93CEE" w14:textId="77777777" w:rsidR="00146660" w:rsidRDefault="00146660" w:rsidP="00337319">
      <w:pPr>
        <w:spacing w:after="0" w:line="240" w:lineRule="auto"/>
        <w:ind w:left="360" w:firstLine="108"/>
        <w:jc w:val="both"/>
        <w:rPr>
          <w:rFonts w:ascii="Times New Roman" w:hAnsi="Times New Roman"/>
        </w:rPr>
      </w:pPr>
    </w:p>
    <w:p w14:paraId="5B633CE4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je povinen použít poskytnuté peněžní prostředky maximálně hospodárným způsobem. Příjemce je povinen použít poskytnuté peněžní prostředky výhradně k účelu uvedenému v článku II. této smlouvy, v souladu se specifikací uvedenou v předchozím odstavci tohoto článku a v souladu s pravidly. Příjemce tyto prostředky nesmí poskytnout jiným právnickým nebo fyzickým osobám (pokud nejde o úhrady spojené s realizací účelu, na který byly poskytnuty). Dále příjemce nesmí tyto prostředky použít na dary, pohoštění, mzdy pracovníků nebo funkcionářů příjemce či příjemce samotného, penále, úroky z úvěrů, náhrady škod, pojistné, pokuty, úhrady dluhu, poštovné apod.</w:t>
      </w:r>
    </w:p>
    <w:p w14:paraId="0923ED25" w14:textId="77777777" w:rsidR="00146660" w:rsidRDefault="0014666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24D50A6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 daňové evidenci příjemce. To znamená, že účetní operace související s dotací musí být účtovány odděleně od ostatních aktivit příjemce (např. na zvláštním účetním středisku).</w:t>
      </w:r>
    </w:p>
    <w:p w14:paraId="2B1BD097" w14:textId="77777777" w:rsidR="00146660" w:rsidRDefault="0014666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51DF3FD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  <w:lang w:eastAsia="cs-CZ"/>
        </w:rPr>
        <w:t>V případě, že příjemce uzavře na předmět dotace smlouvu o provedení díla se třetí osobou, bude tato smlouva obsahovat závazek zhotovitele spolupůsobit při výkonu finanční kontroly ve smyslu zákona č. 320/2001 Sb., o finanční kontrole ve veřejné správě a o změně některých zákonů, ve znění pozdějších předpisů, resp. zákona č. 255/2012 Sb., o kontrole (kontrolní řád)</w:t>
      </w:r>
      <w:r w:rsidR="000D68E8">
        <w:rPr>
          <w:rFonts w:ascii="Times New Roman" w:eastAsia="Arial Unicode MS" w:hAnsi="Times New Roman"/>
          <w:lang w:eastAsia="cs-CZ"/>
        </w:rPr>
        <w:t>, ve znění pozdějších předpisů</w:t>
      </w:r>
      <w:r>
        <w:rPr>
          <w:rFonts w:ascii="Times New Roman" w:eastAsia="Arial Unicode MS" w:hAnsi="Times New Roman"/>
          <w:lang w:eastAsia="cs-CZ"/>
        </w:rPr>
        <w:t>.</w:t>
      </w:r>
    </w:p>
    <w:p w14:paraId="49262785" w14:textId="77777777" w:rsidR="00146660" w:rsidRDefault="0014666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7C707C2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Na příjemce se nevztahuje povinnost předložit závěrečné finanční vypořádání dotace. </w:t>
      </w:r>
    </w:p>
    <w:p w14:paraId="098193A4" w14:textId="77777777" w:rsidR="00146660" w:rsidRDefault="0014666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B09BF36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Arial Unicode MS" w:hAnsi="Times New Roman"/>
          <w:lang w:eastAsia="cs-CZ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</w:t>
      </w:r>
      <w:r>
        <w:rPr>
          <w:rFonts w:ascii="Times New Roman" w:eastAsia="Arial Unicode MS" w:hAnsi="Times New Roman"/>
          <w:lang w:eastAsia="cs-CZ"/>
        </w:rPr>
        <w:lastRenderedPageBreak/>
        <w:t xml:space="preserve">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1">
        <w:r>
          <w:rPr>
            <w:rStyle w:val="Internetovodkaz"/>
            <w:rFonts w:ascii="Times New Roman" w:eastAsia="Arial Unicode MS" w:hAnsi="Times New Roman"/>
            <w:lang w:eastAsia="cs-CZ"/>
          </w:rPr>
          <w:t>www.zivykraj.cz</w:t>
        </w:r>
      </w:hyperlink>
      <w:r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2">
        <w:r>
          <w:rPr>
            <w:rStyle w:val="Interne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 a </w:t>
      </w:r>
      <w:hyperlink r:id="rId13">
        <w:r>
          <w:rPr>
            <w:rStyle w:val="Internetovodkaz"/>
            <w:rFonts w:ascii="Times New Roman" w:eastAsia="Arial Unicode MS" w:hAnsi="Times New Roman"/>
            <w:lang w:eastAsia="cs-CZ"/>
          </w:rPr>
          <w:t>www.zivykraj.cz</w:t>
        </w:r>
      </w:hyperlink>
      <w:r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>
        <w:r>
          <w:rPr>
            <w:rStyle w:val="Interne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>
        <w:r>
          <w:rPr>
            <w:rStyle w:val="Internetovodkaz"/>
            <w:rFonts w:ascii="Times New Roman" w:eastAsia="Arial Unicode MS" w:hAnsi="Times New Roman"/>
            <w:lang w:eastAsia="cs-CZ"/>
          </w:rPr>
          <w:t>www.zivykraj.cz</w:t>
        </w:r>
      </w:hyperlink>
      <w:r>
        <w:rPr>
          <w:rFonts w:ascii="Times New Roman" w:eastAsia="Arial Unicode MS" w:hAnsi="Times New Roman"/>
          <w:lang w:eastAsia="cs-CZ"/>
        </w:rPr>
        <w:t xml:space="preserve"> záložka </w:t>
      </w:r>
      <w:proofErr w:type="spellStart"/>
      <w:r>
        <w:rPr>
          <w:rFonts w:ascii="Times New Roman" w:eastAsia="Arial Unicode MS" w:hAnsi="Times New Roman"/>
          <w:lang w:eastAsia="cs-CZ"/>
        </w:rPr>
        <w:t>Tourism</w:t>
      </w:r>
      <w:proofErr w:type="spellEnd"/>
      <w:r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>
        <w:rPr>
          <w:rFonts w:ascii="Times New Roman" w:eastAsia="Arial Unicode MS" w:hAnsi="Times New Roman"/>
          <w:lang w:eastAsia="cs-CZ"/>
        </w:rPr>
        <w:t>professionals</w:t>
      </w:r>
      <w:proofErr w:type="spellEnd"/>
      <w:r>
        <w:rPr>
          <w:rFonts w:ascii="Times New Roman" w:eastAsia="Arial Unicode MS" w:hAnsi="Times New Roman"/>
          <w:lang w:eastAsia="cs-CZ"/>
        </w:rPr>
        <w:t>.“</w:t>
      </w:r>
    </w:p>
    <w:p w14:paraId="4FF96324" w14:textId="77777777" w:rsidR="00146660" w:rsidRDefault="0014666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D5D44D4" w14:textId="77777777" w:rsidR="00146660" w:rsidRDefault="00D0535A" w:rsidP="00337319">
      <w:pPr>
        <w:pStyle w:val="Odstavecseseznamem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E26504E" w14:textId="77777777" w:rsidR="00146660" w:rsidRDefault="0014666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4EE3B1A0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zejména povinen oznámit poskytovateli do 14 kalendářních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apod.</w:t>
      </w:r>
    </w:p>
    <w:p w14:paraId="1022398B" w14:textId="77777777" w:rsidR="00146660" w:rsidRDefault="0014666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C064AFD" w14:textId="77777777" w:rsidR="00146660" w:rsidRDefault="00D0535A" w:rsidP="00337319">
      <w:pPr>
        <w:numPr>
          <w:ilvl w:val="0"/>
          <w:numId w:val="18"/>
        </w:numPr>
      </w:pPr>
      <w:r>
        <w:rPr>
          <w:rFonts w:ascii="Times New Roman" w:eastAsia="Arial Unicode MS" w:hAnsi="Times New Roman"/>
          <w:lang w:eastAsia="cs-CZ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687775F1" w14:textId="77777777" w:rsidR="00146660" w:rsidRDefault="00D0535A" w:rsidP="0033731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49F49AEE" w14:textId="665DD393" w:rsidR="00146660" w:rsidRDefault="0014666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8A9A26" w14:textId="63396972" w:rsidR="0081512E" w:rsidRDefault="0081512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C8F2B7B" w14:textId="77777777" w:rsidR="0081512E" w:rsidRDefault="0081512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7E88A61" w14:textId="77777777" w:rsidR="00146660" w:rsidRDefault="00D0535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3F1196FC" w14:textId="77777777" w:rsidR="00146660" w:rsidRDefault="00D0535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0DA2308" w14:textId="28068B7D" w:rsidR="00146660" w:rsidRDefault="00D0535A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Příslušné orgány poskytovatele jsou oprávněny zejména v souladu se zákonem č. 320/2001 Sb., o finanční kontrole ve veřejné správě a o změně některých zákonů (zákon o finanční kontrole), ve znění pozdějších předpisů, </w:t>
      </w:r>
      <w:r>
        <w:rPr>
          <w:rFonts w:ascii="Times New Roman" w:hAnsi="Times New Roman"/>
          <w:bCs/>
          <w:iCs/>
        </w:rPr>
        <w:t xml:space="preserve">a v souladu se zákonem č. 255/2012 Sb., o kontrole (kontrolní řád), </w:t>
      </w:r>
      <w:r w:rsidR="000D68E8">
        <w:rPr>
          <w:rFonts w:ascii="Times New Roman" w:hAnsi="Times New Roman"/>
          <w:bCs/>
          <w:iCs/>
        </w:rPr>
        <w:t>ve znění pozdějších změn</w:t>
      </w:r>
      <w:r>
        <w:rPr>
          <w:rFonts w:ascii="Times New Roman" w:hAnsi="Times New Roman"/>
          <w:bCs/>
          <w:iCs/>
        </w:rPr>
        <w:t>a dalšími platnými právními předpisy</w:t>
      </w:r>
      <w:r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>
        <w:rPr>
          <w:rFonts w:ascii="Times New Roman" w:eastAsia="Times New Roman" w:hAnsi="Times New Roman"/>
          <w:lang w:eastAsia="cs-CZ"/>
        </w:rPr>
        <w:t>.</w:t>
      </w:r>
    </w:p>
    <w:p w14:paraId="6B7EA971" w14:textId="77777777" w:rsidR="00146660" w:rsidRDefault="00146660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5375573" w14:textId="77777777" w:rsidR="00146660" w:rsidRDefault="00D053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 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záznamů, vč. podkladů.</w:t>
      </w:r>
    </w:p>
    <w:p w14:paraId="66D6114A" w14:textId="77777777" w:rsidR="00146660" w:rsidRDefault="0014666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3D622F1B" w14:textId="77777777" w:rsidR="00146660" w:rsidRDefault="00D0535A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bCs/>
        </w:rPr>
        <w:lastRenderedPageBreak/>
        <w:t>Příjemce je povinen na žádost poskytovatele písemně poskytnout doplňující informace, případně doložit další dokumenty, související s plněním účelu poskytnuté dotace.</w:t>
      </w:r>
    </w:p>
    <w:p w14:paraId="7AB5F5DF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1A66EC3" w14:textId="77777777" w:rsidR="00146660" w:rsidRDefault="00D0535A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 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58F40754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24CA0F36" w14:textId="77777777" w:rsidR="00146660" w:rsidRDefault="00D0535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Článek VI.</w:t>
      </w:r>
    </w:p>
    <w:p w14:paraId="76B66175" w14:textId="77777777" w:rsidR="00146660" w:rsidRDefault="00D0535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4DC5B359" w14:textId="115CC984" w:rsidR="00146660" w:rsidRDefault="00D0535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nesplní některou ze svých povinností stanovených v </w:t>
      </w:r>
      <w:r w:rsidR="000D68E8">
        <w:rPr>
          <w:rFonts w:ascii="Times New Roman" w:eastAsia="Times New Roman" w:hAnsi="Times New Roman"/>
          <w:lang w:eastAsia="cs-CZ"/>
        </w:rPr>
        <w:t>č</w:t>
      </w:r>
      <w:r>
        <w:rPr>
          <w:rFonts w:ascii="Times New Roman" w:eastAsia="Times New Roman" w:hAnsi="Times New Roman"/>
          <w:lang w:eastAsia="cs-CZ"/>
        </w:rPr>
        <w:t>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347E4243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AC0D184" w14:textId="77777777" w:rsidR="00146660" w:rsidRDefault="00D0535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neprokáže způsobem stanoveným v čl. IV. použití finančních prostředků v souladu s čl. IV. odst. 2, popř. použije poskytnuté prostředky, případně jejich část, k jinému účelu, než je uvedeno v článku IV. odst. 1 této smlouvy, považují se tyto prostředky, případně jejich část, za prostředky neoprávněně použité ve smyslu ustanovení § 22 RPÚR. Příjemce je v tomto případě povinen provést v souladu s ustanovením § 22 RPÚR odvod za porušení rozpočtové kázně do rozpočtu poskytovatele.</w:t>
      </w:r>
    </w:p>
    <w:p w14:paraId="0232923E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9210D77" w14:textId="77777777" w:rsidR="00146660" w:rsidRDefault="00D0535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>
        <w:rPr>
          <w:rFonts w:ascii="Times New Roman" w:eastAsia="Arial Unicode MS" w:hAnsi="Times New Roman"/>
          <w:lang w:eastAsia="cs-CZ"/>
        </w:rPr>
        <w:t xml:space="preserve">uvedený výše a opatří je variabilním symbolem a specifickým symbolem </w:t>
      </w:r>
      <w:r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340E903C" w14:textId="77777777" w:rsidR="00146660" w:rsidRDefault="00146660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DC01DE6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3E47BAB3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60D23D11" w14:textId="77777777" w:rsidR="00146660" w:rsidRDefault="00D0535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Smlouvu lze ukončit na základě písemné dohody smluvních stran nebo výpovědí.</w:t>
      </w:r>
    </w:p>
    <w:p w14:paraId="7C7D9F6C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59E1CD" w14:textId="77777777" w:rsidR="00146660" w:rsidRDefault="00D0535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Kterákoli smluvní strana je oprávněna tuto smlouvu písemně vypovědět bez udání důvodu. Výpovědní lhůta činí 30 kalendářních dní a začíná běžet 1. dnem následujícím po dni doručení výpovědi druhé smluvní straně. V případě pochybností se má za to, že výpověď byla doručena 5. Kalendářním dnem od jejího odeslání. Ve výpovědní lhůtě může poskytovatel zastavit poskytnutí dotace.</w:t>
      </w:r>
    </w:p>
    <w:p w14:paraId="6C66424F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2A0AC909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7ACF2D51" w14:textId="77777777" w:rsidR="00146660" w:rsidRDefault="00D0535A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Podpora poskytnutá dle této smlouvy byla smluvními stranami vyhodnocena jako opatření nezakládající veřejnou podporu podle čl. 107 odst. 1 Smlouvy o fungování evropské unie (dříve čl. 87 odst. 1 Smlouvy o založení Evropského společenství,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14:paraId="790A6E77" w14:textId="77777777" w:rsidR="00146660" w:rsidRDefault="00146660">
      <w:pPr>
        <w:spacing w:after="0" w:line="240" w:lineRule="auto"/>
        <w:jc w:val="both"/>
        <w:rPr>
          <w:rFonts w:ascii="Times New Roman" w:hAnsi="Times New Roman"/>
        </w:rPr>
      </w:pPr>
    </w:p>
    <w:p w14:paraId="2B6A3AAC" w14:textId="48CDC0A8" w:rsidR="00BE6E90" w:rsidRPr="00092868" w:rsidRDefault="00D0535A" w:rsidP="0009286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>
        <w:rPr>
          <w:rStyle w:val="Ukotvenpoznmkypod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buď o vrácení podpory, prozatímním navrácení podpory nebo o pozastavení podpory.</w:t>
      </w:r>
    </w:p>
    <w:p w14:paraId="16AAF014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IX.</w:t>
      </w:r>
    </w:p>
    <w:p w14:paraId="36C8DEB2" w14:textId="77777777" w:rsidR="00146660" w:rsidRDefault="00D053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53142BAE" w14:textId="77777777" w:rsidR="00146660" w:rsidRDefault="00D0535A" w:rsidP="00337319">
      <w:pPr>
        <w:numPr>
          <w:ilvl w:val="0"/>
          <w:numId w:val="20"/>
        </w:numPr>
        <w:tabs>
          <w:tab w:val="left" w:pos="450"/>
        </w:tabs>
        <w:spacing w:after="0" w:line="240" w:lineRule="auto"/>
        <w:jc w:val="both"/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47DC83F5" w14:textId="77777777" w:rsidR="00146660" w:rsidRDefault="00146660">
      <w:pPr>
        <w:tabs>
          <w:tab w:val="left" w:pos="0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71BF2E5C" w14:textId="77777777" w:rsidR="00146660" w:rsidRDefault="00D0535A" w:rsidP="00337319">
      <w:pPr>
        <w:numPr>
          <w:ilvl w:val="0"/>
          <w:numId w:val="20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proofErr w:type="spellStart"/>
      <w:r>
        <w:rPr>
          <w:rFonts w:ascii="Times New Roman" w:eastAsia="Times New Roman" w:hAnsi="Times New Roman"/>
          <w:lang w:eastAsia="cs-CZ"/>
        </w:rPr>
        <w:t>administrující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této smlouvy.</w:t>
      </w:r>
    </w:p>
    <w:p w14:paraId="4E626FE4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16B4A08" w14:textId="77777777" w:rsidR="00146660" w:rsidRDefault="00D0535A" w:rsidP="00337319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 této smlouvy příslušnými ustanoveními zákonů č. 500/2004 Sb., správní řád, ve znění pozdějších předpisů a č. 89/2012 Sb., občanský zákoník, ve znění pozdějších předpisů.</w:t>
      </w:r>
    </w:p>
    <w:p w14:paraId="7C03E454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5B5909" w14:textId="52E69B7C" w:rsidR="00146660" w:rsidRPr="00D810C1" w:rsidRDefault="00130B94" w:rsidP="00337319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30B94">
        <w:rPr>
          <w:rFonts w:ascii="Times New Roman" w:eastAsia="Times New Roman" w:hAnsi="Times New Roman"/>
          <w:lang w:eastAsia="cs-CZ"/>
        </w:rPr>
        <w:t>Tato smlouva nabývá platnosti dnem podpisu obou smluvních stran s účinností ode dne uveřejnění v registru smluv a je vyhotovena ve čtyřech stejnopisech, z nichž jeden obdrží příjemce a tři poskytovatel.</w:t>
      </w:r>
    </w:p>
    <w:p w14:paraId="68EA8B3B" w14:textId="77777777" w:rsidR="00146660" w:rsidRDefault="0014666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EC3C0A" w14:textId="77777777" w:rsidR="00146660" w:rsidRDefault="00D0535A" w:rsidP="00337319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69C80ACC" w14:textId="77777777" w:rsidR="00146660" w:rsidRDefault="001466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A5312AB" w14:textId="726EFE06" w:rsidR="00146660" w:rsidRPr="00337319" w:rsidRDefault="00D0535A" w:rsidP="00337319">
      <w:pPr>
        <w:pStyle w:val="Odstavecseseznamem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37319">
        <w:rPr>
          <w:rFonts w:ascii="Times New Roman" w:eastAsia="Times New Roman" w:hAnsi="Times New Roman"/>
          <w:lang w:eastAsia="cs-CZ"/>
        </w:rPr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 w:rsidR="0081512E">
        <w:rPr>
          <w:rFonts w:ascii="Times New Roman" w:eastAsia="Times New Roman" w:hAnsi="Times New Roman"/>
          <w:lang w:eastAsia="cs-CZ"/>
        </w:rPr>
        <w:t xml:space="preserve">215/06/18 </w:t>
      </w:r>
      <w:r w:rsidRPr="00337319">
        <w:rPr>
          <w:rFonts w:ascii="Times New Roman" w:eastAsia="Times New Roman" w:hAnsi="Times New Roman"/>
          <w:lang w:eastAsia="cs-CZ"/>
        </w:rPr>
        <w:t xml:space="preserve">ze dne </w:t>
      </w:r>
      <w:r w:rsidR="0081512E">
        <w:rPr>
          <w:rFonts w:ascii="Times New Roman" w:eastAsia="Times New Roman" w:hAnsi="Times New Roman"/>
          <w:lang w:eastAsia="cs-CZ"/>
        </w:rPr>
        <w:t>21. 6. 2018</w:t>
      </w:r>
      <w:r w:rsidRPr="00337319">
        <w:rPr>
          <w:rFonts w:ascii="Times New Roman" w:eastAsia="Times New Roman" w:hAnsi="Times New Roman"/>
          <w:lang w:eastAsia="cs-CZ"/>
        </w:rPr>
        <w:t>.</w:t>
      </w:r>
    </w:p>
    <w:p w14:paraId="20000CCE" w14:textId="77777777" w:rsidR="00823715" w:rsidRDefault="00823715">
      <w:pPr>
        <w:spacing w:after="0" w:line="240" w:lineRule="auto"/>
        <w:jc w:val="both"/>
        <w:rPr>
          <w:rFonts w:ascii="Times New Roman" w:hAnsi="Times New Roman"/>
          <w:color w:val="FF0000"/>
          <w:lang w:eastAsia="cs-CZ"/>
        </w:rPr>
      </w:pPr>
    </w:p>
    <w:p w14:paraId="0FC31620" w14:textId="5D7BE80A" w:rsidR="00146660" w:rsidRDefault="00130B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30B94">
        <w:rPr>
          <w:rFonts w:ascii="Times New Roman" w:eastAsia="Times New Roman" w:hAnsi="Times New Roman"/>
          <w:lang w:eastAsia="cs-CZ"/>
        </w:rPr>
        <w:t xml:space="preserve">Smluvní strany se dohodly, že uveřejnění smlouvy v registru smluv provede Karlovarský kraj, kontakt na doručení oznámení o vkladu smluvní protistraně: </w:t>
      </w:r>
      <w:r w:rsidR="00242776">
        <w:rPr>
          <w:rFonts w:ascii="Times New Roman" w:eastAsia="Times New Roman" w:hAnsi="Times New Roman"/>
          <w:lang w:eastAsia="cs-CZ"/>
        </w:rPr>
        <w:t>XXXXX</w:t>
      </w:r>
      <w:bookmarkStart w:id="0" w:name="_GoBack"/>
      <w:bookmarkEnd w:id="0"/>
      <w:r w:rsidRPr="00130B94">
        <w:rPr>
          <w:rFonts w:ascii="Times New Roman" w:eastAsia="Times New Roman" w:hAnsi="Times New Roman"/>
          <w:lang w:eastAsia="cs-CZ"/>
        </w:rPr>
        <w:t>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6660" w14:paraId="76BCBE47" w14:textId="77777777" w:rsidTr="00337319">
        <w:trPr>
          <w:trHeight w:val="644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47755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9D2CA13" w14:textId="315256B0" w:rsidR="00146660" w:rsidRDefault="00D0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81512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069F1EB6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9DD7F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631F82" w14:textId="3C0F121E" w:rsidR="00146660" w:rsidRDefault="00D0535A" w:rsidP="00815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 ….. ….. ….. ….. ….. dne </w:t>
            </w:r>
            <w:r w:rsidR="0081512E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146660" w14:paraId="462677AD" w14:textId="77777777" w:rsidTr="00337319">
        <w:trPr>
          <w:trHeight w:val="1536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C93F7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6255368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0FD8D1B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A1B13DC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BD5AA9A" w14:textId="77777777" w:rsidR="00146660" w:rsidRDefault="00D0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0EFE9AF5" w14:textId="77777777" w:rsidR="00146660" w:rsidRDefault="00D0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B67A5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713F915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4479A28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9F1D05D" w14:textId="77777777" w:rsidR="00146660" w:rsidRDefault="0014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D365D7" w14:textId="77777777" w:rsidR="00146660" w:rsidRDefault="00D0535A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4F6ABB7" w14:textId="77777777" w:rsidR="00146660" w:rsidRDefault="00D0535A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14:paraId="5D16BADB" w14:textId="60C31477" w:rsidR="00823715" w:rsidRDefault="00823715" w:rsidP="00130B9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823715" w:rsidSect="00DB2B13">
      <w:footerReference w:type="default" r:id="rId16"/>
      <w:footerReference w:type="first" r:id="rId1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E531" w14:textId="77777777" w:rsidR="00D30F64" w:rsidRDefault="00D30F64">
      <w:pPr>
        <w:spacing w:after="0" w:line="240" w:lineRule="auto"/>
      </w:pPr>
      <w:r>
        <w:separator/>
      </w:r>
    </w:p>
  </w:endnote>
  <w:endnote w:type="continuationSeparator" w:id="0">
    <w:p w14:paraId="637879BF" w14:textId="77777777" w:rsidR="00D30F64" w:rsidRDefault="00D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886183"/>
      <w:docPartObj>
        <w:docPartGallery w:val="Page Numbers (Top of Page)"/>
        <w:docPartUnique/>
      </w:docPartObj>
    </w:sdtPr>
    <w:sdtEndPr/>
    <w:sdtContent>
      <w:sdt>
        <w:sdtPr>
          <w:id w:val="-160086389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860580478"/>
              <w:docPartObj>
                <w:docPartGallery w:val="Page Numbers (Top of Page)"/>
                <w:docPartUnique/>
              </w:docPartObj>
            </w:sdtPr>
            <w:sdtEndPr/>
            <w:sdtContent>
              <w:p w14:paraId="48165E89" w14:textId="60040133" w:rsidR="00BE6E90" w:rsidRDefault="00BE6E90" w:rsidP="00BE6E90">
                <w:pPr>
                  <w:pStyle w:val="Zpat"/>
                  <w:jc w:val="center"/>
                </w:pPr>
                <w:r>
                  <w:t xml:space="preserve">Stránka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42776">
                  <w:rPr>
                    <w:b/>
                    <w:bCs/>
                    <w:noProof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42776">
                  <w:rPr>
                    <w:b/>
                    <w:bCs/>
                    <w:noProof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732BF1A8" w14:textId="19566523" w:rsidR="00146660" w:rsidRDefault="00242776" w:rsidP="00BE6E90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4115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D9DF87" w14:textId="38ABDDE1" w:rsidR="00DB2B13" w:rsidRDefault="00DB2B13" w:rsidP="00DB2B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9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9C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88A44" w14:textId="77777777" w:rsidR="00DB2B13" w:rsidRDefault="00DB2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DB45" w14:textId="77777777" w:rsidR="00D30F64" w:rsidRDefault="00D30F64">
      <w:r>
        <w:separator/>
      </w:r>
    </w:p>
  </w:footnote>
  <w:footnote w:type="continuationSeparator" w:id="0">
    <w:p w14:paraId="10805B5B" w14:textId="77777777" w:rsidR="00D30F64" w:rsidRDefault="00D30F64">
      <w:r>
        <w:continuationSeparator/>
      </w:r>
    </w:p>
  </w:footnote>
  <w:footnote w:id="1">
    <w:p w14:paraId="2B187DAA" w14:textId="77777777" w:rsidR="00146660" w:rsidRDefault="00D0535A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DF"/>
    <w:multiLevelType w:val="multilevel"/>
    <w:tmpl w:val="4232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C0FC5"/>
    <w:multiLevelType w:val="multilevel"/>
    <w:tmpl w:val="54EC4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F5003"/>
    <w:multiLevelType w:val="multilevel"/>
    <w:tmpl w:val="B798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8D2"/>
    <w:multiLevelType w:val="hybridMultilevel"/>
    <w:tmpl w:val="0B726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40E5"/>
    <w:multiLevelType w:val="multilevel"/>
    <w:tmpl w:val="E904E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C7DDD"/>
    <w:multiLevelType w:val="multilevel"/>
    <w:tmpl w:val="BB34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87BC4"/>
    <w:multiLevelType w:val="multilevel"/>
    <w:tmpl w:val="D1C038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2298F"/>
    <w:multiLevelType w:val="multilevel"/>
    <w:tmpl w:val="1400A82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467A7901"/>
    <w:multiLevelType w:val="multilevel"/>
    <w:tmpl w:val="FAE4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/>
        <w:bCs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8047430"/>
    <w:multiLevelType w:val="multilevel"/>
    <w:tmpl w:val="A4B40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0" w:hanging="360"/>
      </w:pPr>
    </w:lvl>
    <w:lvl w:ilvl="2">
      <w:start w:val="1"/>
      <w:numFmt w:val="lowerRoman"/>
      <w:lvlText w:val="%3."/>
      <w:lvlJc w:val="right"/>
      <w:pPr>
        <w:ind w:left="840" w:hanging="180"/>
      </w:pPr>
    </w:lvl>
    <w:lvl w:ilvl="3">
      <w:start w:val="1"/>
      <w:numFmt w:val="decimal"/>
      <w:lvlText w:val="%4."/>
      <w:lvlJc w:val="left"/>
      <w:pPr>
        <w:ind w:left="1560" w:hanging="360"/>
      </w:pPr>
    </w:lvl>
    <w:lvl w:ilvl="4">
      <w:start w:val="1"/>
      <w:numFmt w:val="low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3000" w:hanging="180"/>
      </w:pPr>
    </w:lvl>
    <w:lvl w:ilvl="6">
      <w:start w:val="1"/>
      <w:numFmt w:val="decimal"/>
      <w:lvlText w:val="%7."/>
      <w:lvlJc w:val="left"/>
      <w:pPr>
        <w:ind w:left="372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right"/>
      <w:pPr>
        <w:ind w:left="5160" w:hanging="180"/>
      </w:pPr>
    </w:lvl>
  </w:abstractNum>
  <w:abstractNum w:abstractNumId="10" w15:restartNumberingAfterBreak="0">
    <w:nsid w:val="4B967DC5"/>
    <w:multiLevelType w:val="multilevel"/>
    <w:tmpl w:val="7F4E4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F6460F"/>
    <w:multiLevelType w:val="multilevel"/>
    <w:tmpl w:val="D87A8100"/>
    <w:lvl w:ilvl="0">
      <w:start w:val="3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C65999"/>
    <w:multiLevelType w:val="multilevel"/>
    <w:tmpl w:val="0FAA707C"/>
    <w:lvl w:ilvl="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4E66"/>
    <w:multiLevelType w:val="multilevel"/>
    <w:tmpl w:val="EBC6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E30E53"/>
    <w:multiLevelType w:val="multilevel"/>
    <w:tmpl w:val="764C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4607"/>
    <w:multiLevelType w:val="hybridMultilevel"/>
    <w:tmpl w:val="7AE64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0034"/>
    <w:multiLevelType w:val="multilevel"/>
    <w:tmpl w:val="021E7B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6152F"/>
    <w:multiLevelType w:val="multilevel"/>
    <w:tmpl w:val="A4B40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0" w:hanging="360"/>
      </w:pPr>
    </w:lvl>
    <w:lvl w:ilvl="2">
      <w:start w:val="1"/>
      <w:numFmt w:val="lowerRoman"/>
      <w:lvlText w:val="%3."/>
      <w:lvlJc w:val="right"/>
      <w:pPr>
        <w:ind w:left="840" w:hanging="180"/>
      </w:pPr>
    </w:lvl>
    <w:lvl w:ilvl="3">
      <w:start w:val="1"/>
      <w:numFmt w:val="decimal"/>
      <w:lvlText w:val="%4."/>
      <w:lvlJc w:val="left"/>
      <w:pPr>
        <w:ind w:left="1560" w:hanging="360"/>
      </w:pPr>
    </w:lvl>
    <w:lvl w:ilvl="4">
      <w:start w:val="1"/>
      <w:numFmt w:val="low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3000" w:hanging="180"/>
      </w:pPr>
    </w:lvl>
    <w:lvl w:ilvl="6">
      <w:start w:val="1"/>
      <w:numFmt w:val="decimal"/>
      <w:lvlText w:val="%7."/>
      <w:lvlJc w:val="left"/>
      <w:pPr>
        <w:ind w:left="372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right"/>
      <w:pPr>
        <w:ind w:left="5160" w:hanging="180"/>
      </w:pPr>
    </w:lvl>
  </w:abstractNum>
  <w:abstractNum w:abstractNumId="18" w15:restartNumberingAfterBreak="0">
    <w:nsid w:val="74C62EAD"/>
    <w:multiLevelType w:val="multilevel"/>
    <w:tmpl w:val="B76C5E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20" w:hanging="360"/>
      </w:pPr>
    </w:lvl>
    <w:lvl w:ilvl="2">
      <w:start w:val="1"/>
      <w:numFmt w:val="lowerRoman"/>
      <w:lvlText w:val="%3."/>
      <w:lvlJc w:val="right"/>
      <w:pPr>
        <w:ind w:left="840" w:hanging="180"/>
      </w:pPr>
    </w:lvl>
    <w:lvl w:ilvl="3">
      <w:start w:val="1"/>
      <w:numFmt w:val="decimal"/>
      <w:lvlText w:val="%4."/>
      <w:lvlJc w:val="left"/>
      <w:pPr>
        <w:ind w:left="1560" w:hanging="360"/>
      </w:pPr>
    </w:lvl>
    <w:lvl w:ilvl="4">
      <w:start w:val="1"/>
      <w:numFmt w:val="low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3000" w:hanging="180"/>
      </w:pPr>
    </w:lvl>
    <w:lvl w:ilvl="6">
      <w:start w:val="1"/>
      <w:numFmt w:val="decimal"/>
      <w:lvlText w:val="%7."/>
      <w:lvlJc w:val="left"/>
      <w:pPr>
        <w:ind w:left="372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right"/>
      <w:pPr>
        <w:ind w:left="5160" w:hanging="180"/>
      </w:pPr>
    </w:lvl>
  </w:abstractNum>
  <w:abstractNum w:abstractNumId="19" w15:restartNumberingAfterBreak="0">
    <w:nsid w:val="7CC97409"/>
    <w:multiLevelType w:val="multilevel"/>
    <w:tmpl w:val="A72CAB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16"/>
  </w:num>
  <w:num w:numId="9">
    <w:abstractNumId w:val="8"/>
  </w:num>
  <w:num w:numId="10">
    <w:abstractNumId w:val="4"/>
  </w:num>
  <w:num w:numId="11">
    <w:abstractNumId w:val="12"/>
  </w:num>
  <w:num w:numId="12">
    <w:abstractNumId w:val="18"/>
  </w:num>
  <w:num w:numId="13">
    <w:abstractNumId w:val="17"/>
  </w:num>
  <w:num w:numId="14">
    <w:abstractNumId w:val="11"/>
  </w:num>
  <w:num w:numId="15">
    <w:abstractNumId w:val="6"/>
  </w:num>
  <w:num w:numId="16">
    <w:abstractNumId w:val="1"/>
  </w:num>
  <w:num w:numId="17">
    <w:abstractNumId w:val="19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0"/>
    <w:rsid w:val="000151C5"/>
    <w:rsid w:val="00092868"/>
    <w:rsid w:val="00092CA3"/>
    <w:rsid w:val="000A79A5"/>
    <w:rsid w:val="000B2A2A"/>
    <w:rsid w:val="000D68E8"/>
    <w:rsid w:val="00101CD0"/>
    <w:rsid w:val="0013067D"/>
    <w:rsid w:val="00130B94"/>
    <w:rsid w:val="00146660"/>
    <w:rsid w:val="00164936"/>
    <w:rsid w:val="002007C5"/>
    <w:rsid w:val="00242776"/>
    <w:rsid w:val="002E1F45"/>
    <w:rsid w:val="002F34D1"/>
    <w:rsid w:val="00337319"/>
    <w:rsid w:val="003F5F1C"/>
    <w:rsid w:val="00447644"/>
    <w:rsid w:val="004645A5"/>
    <w:rsid w:val="00502527"/>
    <w:rsid w:val="00525317"/>
    <w:rsid w:val="00526C94"/>
    <w:rsid w:val="00535692"/>
    <w:rsid w:val="00583B6F"/>
    <w:rsid w:val="005B5554"/>
    <w:rsid w:val="006504D0"/>
    <w:rsid w:val="00651EA2"/>
    <w:rsid w:val="006C3C64"/>
    <w:rsid w:val="007221D4"/>
    <w:rsid w:val="0076216E"/>
    <w:rsid w:val="007E4476"/>
    <w:rsid w:val="008141AB"/>
    <w:rsid w:val="0081512E"/>
    <w:rsid w:val="00823715"/>
    <w:rsid w:val="00860D58"/>
    <w:rsid w:val="0088555C"/>
    <w:rsid w:val="00991FFF"/>
    <w:rsid w:val="009B1C01"/>
    <w:rsid w:val="00AA4896"/>
    <w:rsid w:val="00BE42C5"/>
    <w:rsid w:val="00BE6E90"/>
    <w:rsid w:val="00C202C3"/>
    <w:rsid w:val="00C62B70"/>
    <w:rsid w:val="00C868FB"/>
    <w:rsid w:val="00D0535A"/>
    <w:rsid w:val="00D21498"/>
    <w:rsid w:val="00D30F64"/>
    <w:rsid w:val="00D810C1"/>
    <w:rsid w:val="00DB2B13"/>
    <w:rsid w:val="00DC2FA9"/>
    <w:rsid w:val="00DC51FC"/>
    <w:rsid w:val="00E179C8"/>
    <w:rsid w:val="00E45F27"/>
    <w:rsid w:val="00EA6D0B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B8D"/>
  <w15:docId w15:val="{5918C788-06C0-4893-A547-4F98349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pPr>
      <w:spacing w:after="200"/>
    </w:pPr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qFormat/>
    <w:rsid w:val="003A2D6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2D63"/>
    <w:rPr>
      <w:rFonts w:ascii="Tahoma" w:eastAsia="Calibri" w:hAnsi="Tahoma" w:cs="Tahoma"/>
      <w:b w:val="0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E729FB"/>
    <w:rPr>
      <w:bCs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E729FB"/>
    <w:rPr>
      <w:b w:val="0"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A8306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BE360F"/>
    <w:rPr>
      <w:vertAlign w:val="superscript"/>
    </w:rPr>
  </w:style>
  <w:style w:type="character" w:customStyle="1" w:styleId="NzevChar">
    <w:name w:val="Název Char"/>
    <w:basedOn w:val="Standardnpsmoodstavce"/>
    <w:link w:val="Nzev"/>
    <w:qFormat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D7E3F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character" w:customStyle="1" w:styleId="NormlnwebChar">
    <w:name w:val="Normální (web) Char"/>
    <w:link w:val="Normlnweb"/>
    <w:uiPriority w:val="99"/>
    <w:qFormat/>
    <w:rsid w:val="0086528E"/>
    <w:rPr>
      <w:b w:val="0"/>
      <w:sz w:val="24"/>
      <w:szCs w:val="24"/>
      <w:lang w:eastAsia="cs-CZ"/>
    </w:rPr>
  </w:style>
  <w:style w:type="character" w:customStyle="1" w:styleId="OdstavecChar">
    <w:name w:val="Odstavec Char"/>
    <w:link w:val="Odstavec"/>
    <w:qFormat/>
    <w:rsid w:val="00245735"/>
    <w:rPr>
      <w:b w:val="0"/>
      <w:bCs/>
      <w:iCs/>
      <w:sz w:val="22"/>
      <w:szCs w:val="22"/>
      <w:lang w:eastAsia="cs-CZ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rFonts w:ascii="Times New Roman" w:hAnsi="Times New Roman"/>
      <w:b/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Times New Roman" w:hAnsi="Times New Roman"/>
      <w:b/>
      <w:strike w:val="0"/>
      <w:dstrike w:val="0"/>
      <w:color w:val="00000A"/>
    </w:rPr>
  </w:style>
  <w:style w:type="character" w:customStyle="1" w:styleId="ListLabel5">
    <w:name w:val="ListLabel 5"/>
    <w:qFormat/>
    <w:rPr>
      <w:rFonts w:ascii="Times New Roman" w:hAnsi="Times New Roman"/>
      <w:b/>
      <w:bCs/>
      <w:i w:val="0"/>
      <w:iCs w:val="0"/>
      <w:sz w:val="22"/>
      <w:szCs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3A2D63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A2D63"/>
    <w:rPr>
      <w:b/>
      <w:bCs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qFormat/>
    <w:rsid w:val="00E729FB"/>
    <w:pPr>
      <w:spacing w:line="240" w:lineRule="auto"/>
    </w:pPr>
    <w:rPr>
      <w:b w:val="0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BE360F"/>
    <w:pPr>
      <w:spacing w:after="0" w:line="24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A34B2"/>
    <w:pPr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link w:val="NormlnwebChar"/>
    <w:uiPriority w:val="99"/>
    <w:qFormat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245735"/>
    <w:pPr>
      <w:keepNext/>
      <w:tabs>
        <w:tab w:val="left" w:pos="284"/>
      </w:tabs>
      <w:suppressAutoHyphens/>
      <w:spacing w:before="60" w:after="60" w:line="240" w:lineRule="auto"/>
      <w:jc w:val="both"/>
    </w:pPr>
    <w:rPr>
      <w:rFonts w:ascii="Times New Roman" w:eastAsia="Times New Roman" w:hAnsi="Times New Roman"/>
      <w:bCs/>
      <w:iCs/>
      <w:lang w:eastAsia="cs-CZ"/>
    </w:rPr>
  </w:style>
  <w:style w:type="paragraph" w:customStyle="1" w:styleId="Poznmkapodarou">
    <w:name w:val="Poznámka pod čarou"/>
    <w:basedOn w:val="Normln"/>
  </w:style>
  <w:style w:type="paragraph" w:customStyle="1" w:styleId="Quotations">
    <w:name w:val="Quotations"/>
    <w:basedOn w:val="Normln"/>
    <w:qFormat/>
  </w:style>
  <w:style w:type="paragraph" w:customStyle="1" w:styleId="Podtitul">
    <w:name w:val="Podtitul"/>
    <w:basedOn w:val="Nadpis"/>
  </w:style>
  <w:style w:type="numbering" w:customStyle="1" w:styleId="Pedpisy97">
    <w:name w:val="Předpisy 97"/>
    <w:uiPriority w:val="99"/>
    <w:rsid w:val="00EA1FDE"/>
  </w:style>
  <w:style w:type="table" w:styleId="Mkatabulky">
    <w:name w:val="Table Grid"/>
    <w:basedOn w:val="Normlntabulka"/>
    <w:uiPriority w:val="59"/>
    <w:rsid w:val="004F157D"/>
    <w:pPr>
      <w:spacing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ivykraj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vykraj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588A-4A48-46C7-BFA0-A4FBC9CD41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2.xml><?xml version="1.0" encoding="utf-8"?>
<ds:datastoreItem xmlns:ds="http://schemas.openxmlformats.org/officeDocument/2006/customXml" ds:itemID="{453511FE-99AF-4B27-B57D-9470F340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1FD4B-D105-4153-A599-FA9051B2D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DAF54-673E-4B11-8BE2-87E04CA1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2606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Kotousová Alena</cp:lastModifiedBy>
  <cp:revision>37</cp:revision>
  <cp:lastPrinted>2018-06-28T09:41:00Z</cp:lastPrinted>
  <dcterms:created xsi:type="dcterms:W3CDTF">2018-06-27T05:42:00Z</dcterms:created>
  <dcterms:modified xsi:type="dcterms:W3CDTF">2018-07-20T08:22:00Z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  <property fmtid="{D5CDD505-2E9C-101B-9397-08002B2CF9AE}" pid="10" name="MigrationSourceURL">
    <vt:lpwstr/>
  </property>
  <property fmtid="{D5CDD505-2E9C-101B-9397-08002B2CF9AE}" pid="11" name="PublishingContact">
    <vt:lpwstr/>
  </property>
  <property fmtid="{D5CDD505-2E9C-101B-9397-08002B2CF9AE}" pid="12" name="PublishingPageContent">
    <vt:lpwstr/>
  </property>
  <property fmtid="{D5CDD505-2E9C-101B-9397-08002B2CF9AE}" pid="13" name="e1a5b98cdd71426dacb6e478c7a5882f">
    <vt:lpwstr/>
  </property>
  <property fmtid="{D5CDD505-2E9C-101B-9397-08002B2CF9AE}" pid="14" name="Order">
    <vt:r8>1147000</vt:r8>
  </property>
  <property fmtid="{D5CDD505-2E9C-101B-9397-08002B2CF9AE}" pid="15" name="PublishingRollupImage">
    <vt:lpwstr/>
  </property>
  <property fmtid="{D5CDD505-2E9C-101B-9397-08002B2CF9AE}" pid="16" name="PublishingContactEmai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PublishingContactPicture">
    <vt:lpwstr/>
  </property>
  <property fmtid="{D5CDD505-2E9C-101B-9397-08002B2CF9AE}" pid="20" name="PublishingVariationGroupID">
    <vt:lpwstr/>
  </property>
  <property fmtid="{D5CDD505-2E9C-101B-9397-08002B2CF9AE}" pid="21" name="MigrationSourceURL2">
    <vt:lpwstr/>
  </property>
  <property fmtid="{D5CDD505-2E9C-101B-9397-08002B2CF9AE}" pid="22" name="MigrationSourceURL1">
    <vt:lpwstr/>
  </property>
  <property fmtid="{D5CDD505-2E9C-101B-9397-08002B2CF9AE}" pid="23" name="PublishingContactName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Comments">
    <vt:lpwstr/>
  </property>
  <property fmtid="{D5CDD505-2E9C-101B-9397-08002B2CF9AE}" pid="28" name="PublishingPageLayout">
    <vt:lpwstr/>
  </property>
  <property fmtid="{D5CDD505-2E9C-101B-9397-08002B2CF9AE}" pid="29" name="TaxCatchAll">
    <vt:lpwstr/>
  </property>
  <property fmtid="{D5CDD505-2E9C-101B-9397-08002B2CF9AE}" pid="30" name="Wiki Page Categories">
    <vt:lpwstr/>
  </property>
  <property fmtid="{D5CDD505-2E9C-101B-9397-08002B2CF9AE}" pid="31" name="TemplateUrl">
    <vt:lpwstr/>
  </property>
  <property fmtid="{D5CDD505-2E9C-101B-9397-08002B2CF9AE}" pid="32" name="Audience">
    <vt:lpwstr/>
  </property>
</Properties>
</file>