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Jan Ševčík, ředitel Krajského pozemkového úřadu pro Jihomoravský kraj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Hroznová 17, 60300 Brno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1029931627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311481" w:rsidRDefault="00311481" w:rsidP="00311481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Trávníček a Kořínek, spol. s r.o.</w:t>
      </w:r>
    </w:p>
    <w:p w:rsidR="00311481" w:rsidRDefault="003D5AFE" w:rsidP="0031148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311481">
        <w:rPr>
          <w:color w:val="000000"/>
          <w:sz w:val="24"/>
          <w:szCs w:val="24"/>
        </w:rPr>
        <w:t>ídlo</w:t>
      </w:r>
      <w:r>
        <w:rPr>
          <w:color w:val="000000"/>
          <w:sz w:val="24"/>
          <w:szCs w:val="24"/>
        </w:rPr>
        <w:t>:</w:t>
      </w:r>
      <w:r w:rsidR="00311481">
        <w:rPr>
          <w:color w:val="000000"/>
          <w:sz w:val="24"/>
          <w:szCs w:val="24"/>
        </w:rPr>
        <w:t xml:space="preserve"> Pod Skálou 106, </w:t>
      </w:r>
      <w:r>
        <w:rPr>
          <w:color w:val="000000"/>
          <w:sz w:val="24"/>
          <w:szCs w:val="24"/>
        </w:rPr>
        <w:t>66902 Hnanice</w:t>
      </w:r>
      <w:r w:rsidR="00311481">
        <w:rPr>
          <w:color w:val="000000"/>
          <w:sz w:val="24"/>
          <w:szCs w:val="24"/>
        </w:rPr>
        <w:t xml:space="preserve"> </w:t>
      </w:r>
    </w:p>
    <w:p w:rsidR="00311481" w:rsidRDefault="00311481" w:rsidP="0031148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 Ing.</w:t>
      </w:r>
      <w:r w:rsidRPr="00F92EE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Josef</w:t>
      </w:r>
      <w:r w:rsidRPr="00F92EE3">
        <w:rPr>
          <w:color w:val="000000"/>
          <w:sz w:val="24"/>
          <w:szCs w:val="24"/>
        </w:rPr>
        <w:t xml:space="preserve"> </w:t>
      </w:r>
      <w:r w:rsidR="003D5AFE">
        <w:rPr>
          <w:color w:val="000000"/>
          <w:sz w:val="24"/>
          <w:szCs w:val="24"/>
        </w:rPr>
        <w:t>Trávníček,</w:t>
      </w:r>
      <w:r w:rsidR="00167A3C">
        <w:rPr>
          <w:color w:val="000000"/>
          <w:sz w:val="24"/>
          <w:szCs w:val="24"/>
        </w:rPr>
        <w:t xml:space="preserve"> jednatel</w:t>
      </w:r>
      <w:bookmarkStart w:id="0" w:name="_GoBack"/>
      <w:bookmarkEnd w:id="0"/>
    </w:p>
    <w:p w:rsidR="00311481" w:rsidRDefault="00311481" w:rsidP="0031148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IČO: 29291771</w:t>
      </w:r>
    </w:p>
    <w:p w:rsidR="00311481" w:rsidRDefault="00311481" w:rsidP="0031148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DIČ: CZ29291771 </w:t>
      </w:r>
    </w:p>
    <w:p w:rsidR="00311481" w:rsidRDefault="00311481" w:rsidP="0031148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zapsán v obchodním rejstříku vedeném u Krajského soudu v Brně, oddíl C, vložka 71526</w:t>
      </w:r>
    </w:p>
    <w:p w:rsidR="00311481" w:rsidRDefault="00311481" w:rsidP="0031148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1029931627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Jihomoravský kraj se sídlem v Brně, Katastrální pracoviště Znojmo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628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630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632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633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634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635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636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656/1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GP: číslo 528-650/2016 ze dne </w:t>
      </w:r>
      <w:proofErr w:type="gramStart"/>
      <w:r>
        <w:rPr>
          <w:sz w:val="20"/>
          <w:szCs w:val="20"/>
        </w:rPr>
        <w:t>4.8.2016</w:t>
      </w:r>
      <w:proofErr w:type="gramEnd"/>
      <w:r>
        <w:rPr>
          <w:sz w:val="20"/>
          <w:szCs w:val="20"/>
        </w:rPr>
        <w:t xml:space="preserve"> z parcely č. 656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657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671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672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673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674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675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687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690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692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694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696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700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702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703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704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705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706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707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708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311481" w:rsidRDefault="00311481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709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710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711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712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Havraníky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Havraníky</w:t>
      </w:r>
      <w:proofErr w:type="spellEnd"/>
      <w:r>
        <w:rPr>
          <w:sz w:val="20"/>
          <w:szCs w:val="20"/>
        </w:rPr>
        <w:tab/>
        <w:t>713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311481" w:rsidRDefault="00311481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proofErr w:type="gramStart"/>
      <w:r w:rsidR="00842ADC" w:rsidRPr="00E26F89">
        <w:t>Čl.II</w:t>
      </w:r>
      <w:proofErr w:type="spellEnd"/>
      <w:proofErr w:type="gramEnd"/>
      <w:r w:rsidR="00842ADC" w:rsidRPr="00E26F89">
        <w:t xml:space="preserve"> zákona č. 185/2016 Sb.).</w:t>
      </w:r>
    </w:p>
    <w:p w:rsidR="00311481" w:rsidRDefault="00311481">
      <w:pPr>
        <w:pStyle w:val="vnitrniText"/>
        <w:widowControl/>
      </w:pPr>
    </w:p>
    <w:p w:rsidR="00311481" w:rsidRDefault="00311481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311481" w:rsidRDefault="00311481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628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67 730,00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630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243 320,00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632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764 400,00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633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240 480,00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634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33 040,00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635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4 720,00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7 320,00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656/1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315 770,00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657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3 540,00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671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42 720,00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672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152 690,00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673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146 560,00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674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22 660,00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675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176 290,00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687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1 507 100,00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101 010,00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161 420,00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35 640,00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696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29 740,00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700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54 520,00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702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8 260,00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703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16 280,00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lastRenderedPageBreak/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704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8 500,00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5 430,00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706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8 260,00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707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4 010,00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708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9 910,00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709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21 710,00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10 150,00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30 210,00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10 150,00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Havraníky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19 120,00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4 262 660,00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F04FAA" w:rsidRDefault="00F04FAA">
      <w:pPr>
        <w:widowControl/>
        <w:tabs>
          <w:tab w:val="left" w:pos="426"/>
        </w:tabs>
      </w:pPr>
    </w:p>
    <w:p w:rsidR="00311481" w:rsidRDefault="00311481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proofErr w:type="gramStart"/>
      <w:r>
        <w:t>2)  Užívací</w:t>
      </w:r>
      <w:proofErr w:type="gramEnd"/>
      <w:r>
        <w:t xml:space="preserve"> vztah k prodávaným pozemkům je řešen nájemní smlouvou č. 30N16/27, kterou s PF ČR, nyní Státním pozemkovým úřadem uzavřel Trávníček a Kořínek, spol. s r.o., jakožto nájemce. </w:t>
      </w:r>
    </w:p>
    <w:p w:rsidR="00136D24" w:rsidRDefault="00136D24">
      <w:pPr>
        <w:pStyle w:val="vnitrniText"/>
        <w:widowControl/>
      </w:pPr>
    </w:p>
    <w:p w:rsidR="00F357C4" w:rsidRDefault="00F357C4" w:rsidP="00311481">
      <w:pPr>
        <w:pStyle w:val="para"/>
        <w:widowControl/>
        <w:jc w:val="left"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DA71B1" w:rsidRPr="00653CD0" w:rsidRDefault="00DA71B1" w:rsidP="00DA71B1">
      <w:pPr>
        <w:pStyle w:val="vnintext"/>
        <w:ind w:firstLine="360"/>
      </w:pPr>
      <w:r w:rsidRPr="00653CD0">
        <w:t xml:space="preserve">3) </w:t>
      </w:r>
      <w:r>
        <w:t>P</w:t>
      </w:r>
      <w:r w:rsidRPr="00653CD0">
        <w:t xml:space="preserve">oplatníkem daně z nabytí </w:t>
      </w:r>
      <w:r>
        <w:t>nemovitých věcí</w:t>
      </w:r>
      <w:r w:rsidRPr="00653CD0">
        <w:t xml:space="preserve"> </w:t>
      </w:r>
      <w:r>
        <w:t>dle</w:t>
      </w:r>
      <w:r w:rsidRPr="00653CD0">
        <w:t xml:space="preserve"> zákonného opatření senátu č.</w:t>
      </w:r>
      <w:r>
        <w:t> </w:t>
      </w:r>
      <w:r w:rsidRPr="00653CD0">
        <w:t>340/2013 Sb., o dani z nabytí nemovitých věcí,</w:t>
      </w:r>
      <w:r>
        <w:t xml:space="preserve"> ve znění pozdějších předpisů,</w:t>
      </w:r>
      <w:r w:rsidRPr="00653CD0">
        <w:t xml:space="preserve"> j</w:t>
      </w:r>
      <w:r>
        <w:t>sou</w:t>
      </w:r>
      <w:r w:rsidRPr="00653CD0">
        <w:t xml:space="preserve">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311481" w:rsidRDefault="00311481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</w:t>
      </w:r>
      <w:r w:rsidR="00311481">
        <w:t>. Kupující obdrží 1 stejnopis</w:t>
      </w:r>
      <w:r>
        <w:t xml:space="preserve">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lastRenderedPageBreak/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562C72" w:rsidRDefault="00136D24" w:rsidP="00311481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Brně dne </w:t>
      </w:r>
      <w:proofErr w:type="gramStart"/>
      <w:r w:rsidR="00917A65">
        <w:rPr>
          <w:sz w:val="24"/>
          <w:szCs w:val="24"/>
        </w:rPr>
        <w:t>9.11.2016</w:t>
      </w:r>
      <w:proofErr w:type="gramEnd"/>
      <w:r>
        <w:rPr>
          <w:sz w:val="24"/>
          <w:szCs w:val="24"/>
        </w:rPr>
        <w:tab/>
      </w:r>
      <w:r w:rsidR="00311481">
        <w:rPr>
          <w:sz w:val="24"/>
          <w:szCs w:val="24"/>
        </w:rPr>
        <w:t>V Brně dne</w:t>
      </w:r>
      <w:r w:rsidR="00917A65">
        <w:rPr>
          <w:sz w:val="24"/>
          <w:szCs w:val="24"/>
        </w:rPr>
        <w:t xml:space="preserve"> 9.11.2016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Trávníček a Kořínek, spol. s r.o.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</w:t>
      </w:r>
      <w:r w:rsidR="00311481">
        <w:rPr>
          <w:sz w:val="24"/>
          <w:szCs w:val="24"/>
        </w:rPr>
        <w:t>ajského pozemkového úřadu</w:t>
      </w:r>
      <w:r w:rsidR="00311481">
        <w:rPr>
          <w:sz w:val="24"/>
          <w:szCs w:val="24"/>
        </w:rPr>
        <w:tab/>
      </w:r>
      <w:r>
        <w:rPr>
          <w:sz w:val="24"/>
          <w:szCs w:val="24"/>
        </w:rPr>
        <w:t>jednatel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Jihomoravský kraj</w:t>
      </w:r>
      <w:r>
        <w:rPr>
          <w:sz w:val="24"/>
          <w:szCs w:val="24"/>
        </w:rPr>
        <w:tab/>
      </w:r>
      <w:r w:rsidR="00311481">
        <w:rPr>
          <w:sz w:val="24"/>
          <w:szCs w:val="24"/>
        </w:rPr>
        <w:t xml:space="preserve">Ing. Josef Trávníček 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Jan Ševčík</w:t>
      </w:r>
      <w:r>
        <w:rPr>
          <w:sz w:val="24"/>
          <w:szCs w:val="24"/>
        </w:rPr>
        <w:tab/>
      </w:r>
      <w:r w:rsidR="00311481">
        <w:rPr>
          <w:sz w:val="24"/>
          <w:szCs w:val="24"/>
        </w:rPr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3394327, 2062327, 2062527, 2062627, 2062727, 2062827, 2062927, 6272427, 2063227, 2063327, 2063427, 2063527, 2063627, 3394427, 2063827, 2064127, 3394527, 3394627, 3394727, 3394827, 3394927, 3395027, 3395127, 3395227, 3395327, 3395427, 3396727, 3395527, 3396827, 3395627, 3396927, 3395727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Jihomoravský kraj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JUDr. Jarmila Báčová</w:t>
      </w:r>
    </w:p>
    <w:p w:rsidR="00311481" w:rsidRPr="00C9419D" w:rsidRDefault="00311481" w:rsidP="008C265A">
      <w:pPr>
        <w:widowControl/>
        <w:rPr>
          <w:sz w:val="24"/>
          <w:szCs w:val="24"/>
        </w:rPr>
      </w:pP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311481" w:rsidRDefault="00311481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Michal Staněk</w:t>
      </w:r>
    </w:p>
    <w:p w:rsidR="00311481" w:rsidRDefault="00311481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81" w:rsidRDefault="00311481">
      <w:r>
        <w:separator/>
      </w:r>
    </w:p>
  </w:endnote>
  <w:endnote w:type="continuationSeparator" w:id="0">
    <w:p w:rsidR="00311481" w:rsidRDefault="0031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81" w:rsidRDefault="00311481">
      <w:r>
        <w:separator/>
      </w:r>
    </w:p>
  </w:footnote>
  <w:footnote w:type="continuationSeparator" w:id="0">
    <w:p w:rsidR="00311481" w:rsidRDefault="0031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24"/>
    <w:rsid w:val="000248F3"/>
    <w:rsid w:val="00052C6E"/>
    <w:rsid w:val="000B4F47"/>
    <w:rsid w:val="000D38CD"/>
    <w:rsid w:val="00136D24"/>
    <w:rsid w:val="00167A3C"/>
    <w:rsid w:val="002055A2"/>
    <w:rsid w:val="002359DB"/>
    <w:rsid w:val="002750DE"/>
    <w:rsid w:val="00311481"/>
    <w:rsid w:val="003237EF"/>
    <w:rsid w:val="00371BEF"/>
    <w:rsid w:val="003C4C7B"/>
    <w:rsid w:val="003D5AFE"/>
    <w:rsid w:val="00415CC0"/>
    <w:rsid w:val="0043604A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E3A0A"/>
    <w:rsid w:val="007F4AFB"/>
    <w:rsid w:val="00822906"/>
    <w:rsid w:val="00831AF0"/>
    <w:rsid w:val="00842ADC"/>
    <w:rsid w:val="00881E28"/>
    <w:rsid w:val="008C265A"/>
    <w:rsid w:val="00917A65"/>
    <w:rsid w:val="00A31C3B"/>
    <w:rsid w:val="00A31FE2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D4440D"/>
    <w:rsid w:val="00D63429"/>
    <w:rsid w:val="00D65B9D"/>
    <w:rsid w:val="00DA71B1"/>
    <w:rsid w:val="00E26F89"/>
    <w:rsid w:val="00E66585"/>
    <w:rsid w:val="00E85DC1"/>
    <w:rsid w:val="00EC3E05"/>
    <w:rsid w:val="00F04FAA"/>
    <w:rsid w:val="00F357C4"/>
    <w:rsid w:val="00F56819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DA71B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DA71B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1519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stanekm</dc:creator>
  <cp:lastModifiedBy>stanekm</cp:lastModifiedBy>
  <cp:revision>2</cp:revision>
  <cp:lastPrinted>2016-11-09T12:56:00Z</cp:lastPrinted>
  <dcterms:created xsi:type="dcterms:W3CDTF">2016-11-14T13:48:00Z</dcterms:created>
  <dcterms:modified xsi:type="dcterms:W3CDTF">2016-11-14T13:48:00Z</dcterms:modified>
</cp:coreProperties>
</file>