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174" w:rsidRDefault="00FB5174" w:rsidP="00BD1684">
      <w:pPr>
        <w:jc w:val="center"/>
        <w:rPr>
          <w:b/>
          <w:caps/>
          <w:u w:val="single"/>
        </w:rPr>
      </w:pPr>
      <w:bookmarkStart w:id="0" w:name="_GoBack"/>
      <w:bookmarkEnd w:id="0"/>
    </w:p>
    <w:p w:rsidR="00FB5174" w:rsidRDefault="00FB5174" w:rsidP="00BD1684">
      <w:pPr>
        <w:jc w:val="center"/>
        <w:rPr>
          <w:b/>
          <w:caps/>
          <w:u w:val="single"/>
        </w:rPr>
      </w:pPr>
    </w:p>
    <w:p w:rsidR="00FB5174" w:rsidRDefault="00FB5174" w:rsidP="00BD1684">
      <w:pPr>
        <w:jc w:val="center"/>
        <w:rPr>
          <w:b/>
          <w:caps/>
          <w:u w:val="single"/>
        </w:rPr>
      </w:pPr>
    </w:p>
    <w:p w:rsidR="00FB5174" w:rsidRDefault="00FB5174" w:rsidP="00BD1684">
      <w:pPr>
        <w:jc w:val="center"/>
        <w:rPr>
          <w:b/>
          <w:caps/>
          <w:u w:val="single"/>
        </w:rPr>
      </w:pPr>
    </w:p>
    <w:p w:rsidR="00FB5174" w:rsidRPr="00726B63" w:rsidRDefault="00FB5174" w:rsidP="00FB5174">
      <w:pPr>
        <w:jc w:val="center"/>
        <w:rPr>
          <w:b/>
          <w:sz w:val="36"/>
          <w:szCs w:val="36"/>
        </w:rPr>
      </w:pPr>
      <w:r w:rsidRPr="00726B63">
        <w:rPr>
          <w:b/>
          <w:sz w:val="36"/>
          <w:szCs w:val="36"/>
        </w:rPr>
        <w:t>Příloha</w:t>
      </w:r>
      <w:r>
        <w:rPr>
          <w:b/>
          <w:sz w:val="36"/>
          <w:szCs w:val="36"/>
        </w:rPr>
        <w:t xml:space="preserve"> 9</w:t>
      </w:r>
      <w:r w:rsidRPr="00726B63">
        <w:rPr>
          <w:b/>
          <w:sz w:val="36"/>
          <w:szCs w:val="36"/>
        </w:rPr>
        <w:t xml:space="preserve"> </w:t>
      </w:r>
      <w:r>
        <w:rPr>
          <w:b/>
          <w:sz w:val="36"/>
          <w:szCs w:val="36"/>
        </w:rPr>
        <w:t xml:space="preserve">Smlouvy </w:t>
      </w:r>
      <w:r w:rsidRPr="002474F4">
        <w:rPr>
          <w:b/>
          <w:sz w:val="36"/>
          <w:szCs w:val="36"/>
        </w:rPr>
        <w:t xml:space="preserve">o poskytování služeb </w:t>
      </w:r>
      <w:proofErr w:type="spellStart"/>
      <w:r w:rsidRPr="002474F4">
        <w:rPr>
          <w:b/>
          <w:sz w:val="36"/>
          <w:szCs w:val="36"/>
        </w:rPr>
        <w:t>acquirin</w:t>
      </w:r>
      <w:r>
        <w:rPr>
          <w:b/>
          <w:sz w:val="36"/>
          <w:szCs w:val="36"/>
        </w:rPr>
        <w:t>gu</w:t>
      </w:r>
      <w:proofErr w:type="spellEnd"/>
      <w:r>
        <w:rPr>
          <w:b/>
          <w:sz w:val="36"/>
          <w:szCs w:val="36"/>
        </w:rPr>
        <w:t xml:space="preserve"> a doprovodných služeb č. 2018/</w:t>
      </w:r>
      <w:r w:rsidR="00B10516">
        <w:rPr>
          <w:b/>
          <w:sz w:val="36"/>
          <w:szCs w:val="36"/>
        </w:rPr>
        <w:t>08268</w:t>
      </w:r>
    </w:p>
    <w:p w:rsidR="00FB5174" w:rsidRDefault="00FB5174" w:rsidP="00FB5174"/>
    <w:p w:rsidR="00FB5174" w:rsidRDefault="00FB5174" w:rsidP="00FB5174"/>
    <w:p w:rsidR="00FB5174" w:rsidRPr="004B3288" w:rsidRDefault="00FB5174" w:rsidP="00FB5174">
      <w:pPr>
        <w:jc w:val="center"/>
        <w:rPr>
          <w:b/>
          <w:sz w:val="36"/>
          <w:szCs w:val="36"/>
        </w:rPr>
        <w:sectPr w:rsidR="00FB5174" w:rsidRPr="004B3288" w:rsidSect="00D61FE6">
          <w:headerReference w:type="default" r:id="rId8"/>
          <w:footerReference w:type="default" r:id="rId9"/>
          <w:pgSz w:w="11907" w:h="16840" w:code="9"/>
          <w:pgMar w:top="1440" w:right="1440" w:bottom="1440" w:left="1440" w:header="709" w:footer="709" w:gutter="0"/>
          <w:cols w:space="708"/>
          <w:docGrid w:linePitch="360"/>
        </w:sectPr>
      </w:pPr>
      <w:r>
        <w:rPr>
          <w:b/>
          <w:sz w:val="36"/>
          <w:szCs w:val="36"/>
        </w:rPr>
        <w:t>Služby elektronické archivace</w:t>
      </w:r>
    </w:p>
    <w:p w:rsidR="00FB5174" w:rsidRDefault="00FB5174" w:rsidP="00FB5174">
      <w:pPr>
        <w:rPr>
          <w:b/>
          <w:caps/>
          <w:u w:val="single"/>
        </w:rPr>
      </w:pPr>
    </w:p>
    <w:p w:rsidR="00B02040" w:rsidRPr="00BD1684" w:rsidRDefault="00D35C57" w:rsidP="00BD1684">
      <w:pPr>
        <w:jc w:val="center"/>
        <w:rPr>
          <w:b/>
          <w:caps/>
          <w:u w:val="single"/>
        </w:rPr>
      </w:pPr>
      <w:r w:rsidRPr="00BD1684">
        <w:rPr>
          <w:b/>
          <w:caps/>
          <w:u w:val="single"/>
        </w:rPr>
        <w:t>Služby elektronické archivace</w:t>
      </w:r>
    </w:p>
    <w:p w:rsidR="00983508" w:rsidRDefault="00983508" w:rsidP="00BD1684">
      <w:pPr>
        <w:pStyle w:val="Zkladntext"/>
        <w:numPr>
          <w:ilvl w:val="0"/>
          <w:numId w:val="2"/>
        </w:numPr>
        <w:spacing w:after="120"/>
        <w:rPr>
          <w:rFonts w:ascii="Calibri" w:hAnsi="Calibri" w:cs="Arial"/>
          <w:color w:val="auto"/>
          <w:sz w:val="22"/>
        </w:rPr>
      </w:pPr>
      <w:r w:rsidRPr="00232516">
        <w:rPr>
          <w:rFonts w:ascii="Calibri" w:hAnsi="Calibri" w:cs="Arial"/>
          <w:color w:val="auto"/>
          <w:sz w:val="22"/>
        </w:rPr>
        <w:t>Banka se zavazuje Poště zajistit v rámci plnění předmětu této smlouvy přístup do systému elektronické archivace účtenek (</w:t>
      </w:r>
      <w:r w:rsidR="00232516">
        <w:rPr>
          <w:rFonts w:ascii="Calibri" w:hAnsi="Calibri" w:cs="Arial"/>
          <w:color w:val="auto"/>
          <w:sz w:val="22"/>
        </w:rPr>
        <w:t>POS M</w:t>
      </w:r>
      <w:r w:rsidRPr="00232516">
        <w:rPr>
          <w:rFonts w:ascii="Calibri" w:hAnsi="Calibri" w:cs="Arial"/>
          <w:color w:val="auto"/>
          <w:sz w:val="22"/>
        </w:rPr>
        <w:t>erchant) pro libovolný počet zaměstnanců Pošty.</w:t>
      </w:r>
    </w:p>
    <w:p w:rsidR="00983508" w:rsidRDefault="00983508" w:rsidP="00BD1684">
      <w:pPr>
        <w:pStyle w:val="Zkladntext"/>
        <w:numPr>
          <w:ilvl w:val="0"/>
          <w:numId w:val="2"/>
        </w:numPr>
        <w:spacing w:after="120"/>
        <w:rPr>
          <w:rFonts w:ascii="Calibri" w:hAnsi="Calibri" w:cs="Arial"/>
          <w:color w:val="auto"/>
          <w:sz w:val="22"/>
        </w:rPr>
      </w:pPr>
      <w:r w:rsidRPr="00232516">
        <w:rPr>
          <w:rFonts w:ascii="Calibri" w:hAnsi="Calibri" w:cs="Arial"/>
          <w:color w:val="auto"/>
          <w:sz w:val="22"/>
        </w:rPr>
        <w:t>Pošta je oprávněna po dobu platnosti této smlouvy využívat systém elektronické archivace účtenek z</w:t>
      </w:r>
      <w:r w:rsidR="004E2A5B">
        <w:rPr>
          <w:rFonts w:ascii="Calibri" w:hAnsi="Calibri" w:cs="Arial"/>
          <w:color w:val="auto"/>
          <w:sz w:val="22"/>
        </w:rPr>
        <w:t> </w:t>
      </w:r>
      <w:r w:rsidRPr="00232516">
        <w:rPr>
          <w:rFonts w:ascii="Calibri" w:hAnsi="Calibri" w:cs="Arial"/>
          <w:color w:val="auto"/>
          <w:sz w:val="22"/>
        </w:rPr>
        <w:t>Terminálů</w:t>
      </w:r>
      <w:r w:rsidR="004E2A5B">
        <w:rPr>
          <w:rFonts w:ascii="Calibri" w:hAnsi="Calibri" w:cs="Arial"/>
          <w:color w:val="auto"/>
          <w:sz w:val="22"/>
        </w:rPr>
        <w:t xml:space="preserve"> a to ve smyslu této přílohy a dále pak Přílohy č. 1 – vzorový Manuál obchodníka a Přílohy č</w:t>
      </w:r>
      <w:r w:rsidRPr="00232516">
        <w:rPr>
          <w:rFonts w:ascii="Calibri" w:hAnsi="Calibri" w:cs="Arial"/>
          <w:color w:val="auto"/>
          <w:sz w:val="22"/>
        </w:rPr>
        <w:t>.</w:t>
      </w:r>
      <w:r w:rsidR="004E2A5B">
        <w:rPr>
          <w:rFonts w:ascii="Calibri" w:hAnsi="Calibri" w:cs="Arial"/>
          <w:color w:val="auto"/>
          <w:sz w:val="22"/>
        </w:rPr>
        <w:t xml:space="preserve"> 10 – Reklamace plateb kartou.</w:t>
      </w:r>
    </w:p>
    <w:p w:rsidR="00983508" w:rsidRPr="00232516" w:rsidRDefault="00983508" w:rsidP="00983508">
      <w:pPr>
        <w:pStyle w:val="Zkladntext"/>
        <w:numPr>
          <w:ilvl w:val="0"/>
          <w:numId w:val="2"/>
        </w:numPr>
        <w:rPr>
          <w:rFonts w:ascii="Calibri" w:hAnsi="Calibri" w:cs="Arial"/>
          <w:color w:val="auto"/>
          <w:sz w:val="22"/>
        </w:rPr>
      </w:pPr>
      <w:r w:rsidRPr="00232516">
        <w:rPr>
          <w:rFonts w:ascii="Calibri" w:hAnsi="Calibri" w:cs="Arial"/>
          <w:color w:val="auto"/>
          <w:sz w:val="22"/>
        </w:rPr>
        <w:t>Primárním účelem služby elektronické archivace jsou následující výhody:</w:t>
      </w:r>
    </w:p>
    <w:p w:rsidR="00983508" w:rsidRPr="00232516" w:rsidRDefault="00983508" w:rsidP="00983508">
      <w:pPr>
        <w:pStyle w:val="Zkladntext"/>
        <w:numPr>
          <w:ilvl w:val="1"/>
          <w:numId w:val="2"/>
        </w:numPr>
        <w:rPr>
          <w:rFonts w:ascii="Calibri" w:hAnsi="Calibri" w:cs="Arial"/>
          <w:color w:val="auto"/>
          <w:sz w:val="22"/>
        </w:rPr>
      </w:pPr>
      <w:r w:rsidRPr="00232516">
        <w:rPr>
          <w:rFonts w:ascii="Calibri" w:hAnsi="Calibri" w:cs="Arial"/>
          <w:color w:val="auto"/>
          <w:sz w:val="22"/>
        </w:rPr>
        <w:t>omezení fyzické archivace účtenek, úspora času a skladových prostor,</w:t>
      </w:r>
    </w:p>
    <w:p w:rsidR="00983508" w:rsidRPr="00232516" w:rsidRDefault="00983508" w:rsidP="00983508">
      <w:pPr>
        <w:pStyle w:val="Zkladntext"/>
        <w:numPr>
          <w:ilvl w:val="1"/>
          <w:numId w:val="2"/>
        </w:numPr>
        <w:rPr>
          <w:rFonts w:ascii="Calibri" w:hAnsi="Calibri" w:cs="Arial"/>
          <w:color w:val="auto"/>
          <w:sz w:val="22"/>
        </w:rPr>
      </w:pPr>
      <w:r w:rsidRPr="00232516">
        <w:rPr>
          <w:rFonts w:ascii="Calibri" w:hAnsi="Calibri" w:cs="Arial"/>
          <w:color w:val="auto"/>
          <w:sz w:val="22"/>
        </w:rPr>
        <w:t>úspora spotřebního materiálu (kotoučků) do terminálu,</w:t>
      </w:r>
    </w:p>
    <w:p w:rsidR="00983508" w:rsidRDefault="00983508" w:rsidP="00BD1684">
      <w:pPr>
        <w:pStyle w:val="Zkladntext"/>
        <w:numPr>
          <w:ilvl w:val="1"/>
          <w:numId w:val="2"/>
        </w:numPr>
        <w:spacing w:after="120"/>
        <w:ind w:left="1434" w:hanging="357"/>
        <w:rPr>
          <w:rFonts w:ascii="Calibri" w:hAnsi="Calibri" w:cs="Arial"/>
          <w:color w:val="auto"/>
          <w:sz w:val="22"/>
        </w:rPr>
      </w:pPr>
      <w:r w:rsidRPr="00232516">
        <w:rPr>
          <w:rFonts w:ascii="Calibri" w:hAnsi="Calibri" w:cs="Arial"/>
          <w:color w:val="auto"/>
          <w:sz w:val="22"/>
        </w:rPr>
        <w:t>omezení manipulace s účtenkami.</w:t>
      </w:r>
    </w:p>
    <w:p w:rsidR="00983508" w:rsidRDefault="00983508" w:rsidP="00BD1684">
      <w:pPr>
        <w:pStyle w:val="Zkladntext"/>
        <w:numPr>
          <w:ilvl w:val="0"/>
          <w:numId w:val="2"/>
        </w:numPr>
        <w:spacing w:after="120"/>
        <w:rPr>
          <w:rFonts w:ascii="Calibri" w:hAnsi="Calibri" w:cs="Arial"/>
          <w:color w:val="auto"/>
          <w:sz w:val="22"/>
        </w:rPr>
      </w:pPr>
      <w:r w:rsidRPr="00232516">
        <w:rPr>
          <w:rFonts w:ascii="Calibri" w:hAnsi="Calibri" w:cs="Arial"/>
          <w:color w:val="auto"/>
          <w:sz w:val="22"/>
        </w:rPr>
        <w:t xml:space="preserve">Pošta je oprávněna využívat služby elektronické archivace i pro účely Reklamace plateb kartou Bankou. Předpokladem využití služeb elektronické archivace účtenek pro účely Reklamace plateb kartou Bankou, ve smyslu Přílohy č. 10 – Reklamace plateb kartou, této smlouvy, je použití čipové karty a potvrzení transakce </w:t>
      </w:r>
      <w:proofErr w:type="spellStart"/>
      <w:r w:rsidRPr="00232516">
        <w:rPr>
          <w:rFonts w:ascii="Calibri" w:hAnsi="Calibri" w:cs="Arial"/>
          <w:color w:val="auto"/>
          <w:sz w:val="22"/>
        </w:rPr>
        <w:t>PINem</w:t>
      </w:r>
      <w:proofErr w:type="spellEnd"/>
      <w:r w:rsidRPr="00232516">
        <w:rPr>
          <w:rFonts w:ascii="Calibri" w:hAnsi="Calibri" w:cs="Arial"/>
          <w:color w:val="auto"/>
          <w:sz w:val="22"/>
        </w:rPr>
        <w:t xml:space="preserve"> bez nutnosti podpisu, případně bez nutnosti potvrzení transakce </w:t>
      </w:r>
      <w:proofErr w:type="spellStart"/>
      <w:r w:rsidRPr="00232516">
        <w:rPr>
          <w:rFonts w:ascii="Calibri" w:hAnsi="Calibri" w:cs="Arial"/>
          <w:color w:val="auto"/>
          <w:sz w:val="22"/>
        </w:rPr>
        <w:t>PINem</w:t>
      </w:r>
      <w:proofErr w:type="spellEnd"/>
      <w:r w:rsidRPr="00232516">
        <w:rPr>
          <w:rFonts w:ascii="Calibri" w:hAnsi="Calibri" w:cs="Arial"/>
          <w:color w:val="auto"/>
          <w:sz w:val="22"/>
        </w:rPr>
        <w:t>. V tomto případě je elektronická účtenka pro Poštu uložena automaticky v databázi na úrovni autorizačního systému Banky, je onli</w:t>
      </w:r>
      <w:r w:rsidR="007A4516" w:rsidRPr="00232516">
        <w:rPr>
          <w:rFonts w:ascii="Calibri" w:hAnsi="Calibri" w:cs="Arial"/>
          <w:color w:val="auto"/>
          <w:sz w:val="22"/>
        </w:rPr>
        <w:t>ne dostupná pro Poštu v aplikaci</w:t>
      </w:r>
      <w:r w:rsidR="00232516">
        <w:rPr>
          <w:rFonts w:ascii="Calibri" w:hAnsi="Calibri" w:cs="Arial"/>
          <w:color w:val="auto"/>
          <w:sz w:val="22"/>
        </w:rPr>
        <w:t xml:space="preserve"> POS M</w:t>
      </w:r>
      <w:r w:rsidRPr="00232516">
        <w:rPr>
          <w:rFonts w:ascii="Calibri" w:hAnsi="Calibri" w:cs="Arial"/>
          <w:color w:val="auto"/>
          <w:sz w:val="22"/>
        </w:rPr>
        <w:t xml:space="preserve">erchant a v případě potřeby je možné ji dodatečně vytisknout. </w:t>
      </w:r>
      <w:r w:rsidR="007A4516" w:rsidRPr="00232516">
        <w:rPr>
          <w:rFonts w:ascii="Calibri" w:hAnsi="Calibri" w:cs="Arial"/>
          <w:color w:val="auto"/>
          <w:sz w:val="22"/>
        </w:rPr>
        <w:t>Pošta</w:t>
      </w:r>
      <w:r w:rsidRPr="00232516">
        <w:rPr>
          <w:rFonts w:ascii="Calibri" w:hAnsi="Calibri" w:cs="Arial"/>
          <w:color w:val="auto"/>
          <w:sz w:val="22"/>
        </w:rPr>
        <w:t xml:space="preserve"> tedy tiskne pouze účtenku pro zákazníka, tj. držitele platební karty. </w:t>
      </w:r>
    </w:p>
    <w:p w:rsidR="007A4516" w:rsidRDefault="00983508" w:rsidP="00BD1684">
      <w:pPr>
        <w:pStyle w:val="Zkladntext"/>
        <w:numPr>
          <w:ilvl w:val="0"/>
          <w:numId w:val="2"/>
        </w:numPr>
        <w:spacing w:after="120"/>
        <w:rPr>
          <w:rFonts w:ascii="Calibri" w:hAnsi="Calibri" w:cs="Arial"/>
          <w:color w:val="auto"/>
          <w:sz w:val="22"/>
        </w:rPr>
      </w:pPr>
      <w:r w:rsidRPr="00232516">
        <w:rPr>
          <w:rFonts w:ascii="Calibri" w:hAnsi="Calibri" w:cs="Arial"/>
          <w:color w:val="auto"/>
          <w:sz w:val="22"/>
        </w:rPr>
        <w:t>V případě transakce, u které terminál vyžádá podpis držitele karty, je obchodník povinen tisknout dvě účtenky (tj. jedno vyhotovení pro držitele platební karty a druhé pro obchodníka, toto musí být držitelem platební karty podepsáno). Tyto účtenky musí být obchodníkem archivovány. Obchodníkům je přidělován přístup, uživatelé se přihlašují pod uživatelským jménem a heslem, přístupy jsou monitorovány.</w:t>
      </w:r>
    </w:p>
    <w:p w:rsidR="00983508" w:rsidRDefault="007A4516" w:rsidP="00BD1684">
      <w:pPr>
        <w:pStyle w:val="Zkladntext"/>
        <w:numPr>
          <w:ilvl w:val="0"/>
          <w:numId w:val="2"/>
        </w:numPr>
        <w:spacing w:after="120"/>
        <w:rPr>
          <w:rFonts w:ascii="Calibri" w:hAnsi="Calibri" w:cs="Arial"/>
          <w:color w:val="auto"/>
          <w:sz w:val="22"/>
        </w:rPr>
      </w:pPr>
      <w:r w:rsidRPr="00232516">
        <w:rPr>
          <w:rFonts w:ascii="Calibri" w:hAnsi="Calibri" w:cs="Arial"/>
          <w:color w:val="auto"/>
          <w:sz w:val="22"/>
        </w:rPr>
        <w:t>V případě, že je účtenka elektronicky archivována dle bodu 4. této přílohy, řídí se použití elektronicky archivované účtenky pro účely Reklamace plateb kartou Bankou ustanoveními 6.1 až 6.3 této smlouvy. Tímto není dotčena povinnost Pošty poskytnou</w:t>
      </w:r>
      <w:r w:rsidR="00AE02F2" w:rsidRPr="00232516">
        <w:rPr>
          <w:rFonts w:ascii="Calibri" w:hAnsi="Calibri" w:cs="Arial"/>
          <w:color w:val="auto"/>
          <w:sz w:val="22"/>
        </w:rPr>
        <w:t>t</w:t>
      </w:r>
      <w:r w:rsidRPr="00232516">
        <w:rPr>
          <w:rFonts w:ascii="Calibri" w:hAnsi="Calibri" w:cs="Arial"/>
          <w:color w:val="auto"/>
          <w:sz w:val="22"/>
        </w:rPr>
        <w:t xml:space="preserve"> nezbytnou součinnost při řešení Reklamace transakce kartou Bankou, zejména dodání dodatečných podkladů k reklamované transakci, např. v případě soutisku</w:t>
      </w:r>
      <w:r w:rsidR="00983508" w:rsidRPr="00232516">
        <w:rPr>
          <w:rFonts w:ascii="Calibri" w:hAnsi="Calibri" w:cs="Arial"/>
          <w:color w:val="auto"/>
          <w:sz w:val="22"/>
        </w:rPr>
        <w:t xml:space="preserve"> </w:t>
      </w:r>
      <w:r w:rsidR="00AE02F2" w:rsidRPr="00232516">
        <w:rPr>
          <w:rFonts w:ascii="Calibri" w:hAnsi="Calibri" w:cs="Arial"/>
          <w:color w:val="auto"/>
          <w:sz w:val="22"/>
        </w:rPr>
        <w:t xml:space="preserve">potvrzení platby s dokladem Pošty. </w:t>
      </w:r>
    </w:p>
    <w:p w:rsidR="00B917E4" w:rsidRDefault="007A4516" w:rsidP="00BD1684">
      <w:pPr>
        <w:pStyle w:val="Zkladntext"/>
        <w:numPr>
          <w:ilvl w:val="0"/>
          <w:numId w:val="2"/>
        </w:numPr>
        <w:spacing w:after="120"/>
        <w:rPr>
          <w:rFonts w:ascii="Calibri" w:hAnsi="Calibri" w:cs="Arial"/>
          <w:color w:val="auto"/>
          <w:sz w:val="22"/>
        </w:rPr>
      </w:pPr>
      <w:r w:rsidRPr="00232516">
        <w:rPr>
          <w:rFonts w:ascii="Calibri" w:hAnsi="Calibri" w:cs="Arial"/>
          <w:color w:val="auto"/>
          <w:sz w:val="22"/>
        </w:rPr>
        <w:t xml:space="preserve">Kontaktními osobami pro reklamace a </w:t>
      </w:r>
      <w:r w:rsidR="00AE02F2" w:rsidRPr="00232516">
        <w:rPr>
          <w:rFonts w:ascii="Calibri" w:hAnsi="Calibri" w:cs="Arial"/>
          <w:color w:val="auto"/>
          <w:sz w:val="22"/>
        </w:rPr>
        <w:t xml:space="preserve">elektronickou </w:t>
      </w:r>
      <w:r w:rsidRPr="00232516">
        <w:rPr>
          <w:rFonts w:ascii="Calibri" w:hAnsi="Calibri" w:cs="Arial"/>
          <w:color w:val="auto"/>
          <w:sz w:val="22"/>
        </w:rPr>
        <w:t xml:space="preserve">archivaci jsou pracovníci Řešení Reklamací nebo kontaktní osoba uvedená v Příloze 5 této Smlouvy.   </w:t>
      </w:r>
    </w:p>
    <w:p w:rsidR="00F21EDA" w:rsidRDefault="00B917E4" w:rsidP="00BD1684">
      <w:pPr>
        <w:pStyle w:val="Zkladntext"/>
        <w:numPr>
          <w:ilvl w:val="0"/>
          <w:numId w:val="2"/>
        </w:numPr>
        <w:spacing w:after="120"/>
        <w:rPr>
          <w:rFonts w:ascii="Calibri" w:hAnsi="Calibri" w:cs="Arial"/>
          <w:color w:val="auto"/>
          <w:sz w:val="22"/>
        </w:rPr>
      </w:pPr>
      <w:r>
        <w:rPr>
          <w:rFonts w:ascii="Calibri" w:hAnsi="Calibri" w:cs="Arial"/>
          <w:color w:val="auto"/>
          <w:sz w:val="22"/>
        </w:rPr>
        <w:t>Podmínky užívání služeb elektronické archivace dle bodu 6. této přílohy se nevztahují na situace, kdy o kopii elektronicky archivované účtenky zažádá držitel karty, nebo jiná oprávněná osoba</w:t>
      </w:r>
      <w:r w:rsidR="00F21EDA">
        <w:rPr>
          <w:rFonts w:ascii="Calibri" w:hAnsi="Calibri" w:cs="Arial"/>
          <w:color w:val="auto"/>
          <w:sz w:val="22"/>
        </w:rPr>
        <w:t xml:space="preserve"> třetích stran </w:t>
      </w:r>
      <w:r w:rsidR="00F21EDA" w:rsidRPr="00F21EDA">
        <w:rPr>
          <w:rFonts w:ascii="Calibri" w:hAnsi="Calibri" w:cs="Arial"/>
          <w:color w:val="auto"/>
          <w:sz w:val="22"/>
        </w:rPr>
        <w:t>(zejména soudy, orgány státní správy,</w:t>
      </w:r>
      <w:r w:rsidR="00F21EDA">
        <w:rPr>
          <w:rFonts w:ascii="Calibri" w:hAnsi="Calibri" w:cs="Arial"/>
          <w:color w:val="auto"/>
          <w:sz w:val="22"/>
        </w:rPr>
        <w:t xml:space="preserve"> finančního arbitra, Policie ČR</w:t>
      </w:r>
      <w:r w:rsidR="00F21EDA" w:rsidRPr="00F21EDA">
        <w:rPr>
          <w:rFonts w:ascii="Calibri" w:hAnsi="Calibri" w:cs="Arial"/>
          <w:color w:val="auto"/>
          <w:sz w:val="22"/>
        </w:rPr>
        <w:t>).</w:t>
      </w:r>
    </w:p>
    <w:p w:rsidR="00F21EDA" w:rsidRPr="00F21EDA" w:rsidRDefault="00F21EDA" w:rsidP="00BD1684">
      <w:pPr>
        <w:pStyle w:val="Zkladntext"/>
        <w:numPr>
          <w:ilvl w:val="0"/>
          <w:numId w:val="2"/>
        </w:numPr>
        <w:spacing w:after="120"/>
        <w:rPr>
          <w:rFonts w:ascii="Calibri" w:hAnsi="Calibri" w:cs="Arial"/>
          <w:color w:val="auto"/>
          <w:sz w:val="22"/>
        </w:rPr>
      </w:pPr>
      <w:r>
        <w:rPr>
          <w:rFonts w:ascii="Calibri" w:hAnsi="Calibri" w:cs="Arial"/>
          <w:color w:val="auto"/>
          <w:sz w:val="22"/>
        </w:rPr>
        <w:t>Banka</w:t>
      </w:r>
      <w:r w:rsidRPr="00F21EDA">
        <w:rPr>
          <w:rFonts w:ascii="Calibri" w:hAnsi="Calibri" w:cs="Arial"/>
          <w:color w:val="auto"/>
          <w:sz w:val="22"/>
        </w:rPr>
        <w:t xml:space="preserve"> </w:t>
      </w:r>
      <w:r>
        <w:rPr>
          <w:rFonts w:ascii="Calibri" w:hAnsi="Calibri" w:cs="Arial"/>
          <w:color w:val="auto"/>
          <w:sz w:val="22"/>
        </w:rPr>
        <w:t>elektronicky archivuje účtenky dle této přílohy</w:t>
      </w:r>
      <w:r w:rsidRPr="00F21EDA">
        <w:rPr>
          <w:rFonts w:ascii="Calibri" w:hAnsi="Calibri" w:cs="Arial"/>
          <w:color w:val="auto"/>
          <w:sz w:val="22"/>
        </w:rPr>
        <w:t xml:space="preserve"> po celou dobu trvání smlouvy</w:t>
      </w:r>
      <w:r>
        <w:rPr>
          <w:rFonts w:ascii="Calibri" w:hAnsi="Calibri" w:cs="Arial"/>
          <w:color w:val="auto"/>
          <w:sz w:val="22"/>
        </w:rPr>
        <w:t xml:space="preserve"> a v nezbytném rozsahu i po ukončení trvání této smlouvy.  </w:t>
      </w:r>
      <w:r w:rsidRPr="00F21EDA">
        <w:rPr>
          <w:rFonts w:ascii="Calibri" w:hAnsi="Calibri" w:cs="Arial"/>
          <w:color w:val="auto"/>
          <w:sz w:val="22"/>
        </w:rPr>
        <w:t xml:space="preserve">Banka 1 x za dva roky předá Poště CD s daty o elektronicky archivovaných účtenkách. </w:t>
      </w:r>
    </w:p>
    <w:p w:rsidR="00F21EDA" w:rsidRPr="00232516" w:rsidRDefault="00F21EDA" w:rsidP="00BD1684">
      <w:pPr>
        <w:pStyle w:val="Zkladntext"/>
        <w:numPr>
          <w:ilvl w:val="0"/>
          <w:numId w:val="2"/>
        </w:numPr>
        <w:spacing w:after="120"/>
        <w:rPr>
          <w:rFonts w:ascii="Calibri" w:hAnsi="Calibri" w:cs="Arial"/>
          <w:color w:val="auto"/>
          <w:sz w:val="22"/>
        </w:rPr>
      </w:pPr>
      <w:r>
        <w:rPr>
          <w:rFonts w:ascii="Calibri" w:hAnsi="Calibri" w:cs="Arial"/>
          <w:color w:val="auto"/>
          <w:sz w:val="22"/>
        </w:rPr>
        <w:t>Pošta</w:t>
      </w:r>
      <w:r w:rsidRPr="00F21EDA">
        <w:rPr>
          <w:rFonts w:ascii="Calibri" w:hAnsi="Calibri" w:cs="Arial"/>
          <w:color w:val="auto"/>
          <w:sz w:val="22"/>
        </w:rPr>
        <w:t xml:space="preserve"> souhlasí s tím, že Banka je oprávněna poskytnout </w:t>
      </w:r>
      <w:r>
        <w:rPr>
          <w:rFonts w:ascii="Calibri" w:hAnsi="Calibri" w:cs="Arial"/>
          <w:color w:val="auto"/>
          <w:sz w:val="22"/>
        </w:rPr>
        <w:t>elektronicky archivované účtenky</w:t>
      </w:r>
      <w:r w:rsidRPr="00F21EDA">
        <w:rPr>
          <w:rFonts w:ascii="Calibri" w:hAnsi="Calibri" w:cs="Arial"/>
          <w:color w:val="auto"/>
          <w:sz w:val="22"/>
        </w:rPr>
        <w:t xml:space="preserve"> </w:t>
      </w:r>
      <w:r>
        <w:rPr>
          <w:rFonts w:ascii="Calibri" w:hAnsi="Calibri" w:cs="Arial"/>
          <w:color w:val="auto"/>
          <w:sz w:val="22"/>
        </w:rPr>
        <w:t xml:space="preserve">oprávněným osobám </w:t>
      </w:r>
      <w:r w:rsidRPr="00F21EDA">
        <w:rPr>
          <w:rFonts w:ascii="Calibri" w:hAnsi="Calibri" w:cs="Arial"/>
          <w:color w:val="auto"/>
          <w:sz w:val="22"/>
        </w:rPr>
        <w:t>třetích stran (zejména soudy, orgány státní správy, finančního arbitra, Policie ČR, vydavatel platební karty nebo sdružení karta)</w:t>
      </w:r>
      <w:r>
        <w:rPr>
          <w:rFonts w:ascii="Calibri" w:hAnsi="Calibri" w:cs="Arial"/>
          <w:color w:val="auto"/>
          <w:sz w:val="22"/>
        </w:rPr>
        <w:t>, pokud budou od Banky požadovány</w:t>
      </w:r>
      <w:r w:rsidRPr="00F21EDA">
        <w:rPr>
          <w:rFonts w:ascii="Calibri" w:hAnsi="Calibri" w:cs="Arial"/>
          <w:color w:val="auto"/>
          <w:sz w:val="22"/>
        </w:rPr>
        <w:t>.</w:t>
      </w:r>
    </w:p>
    <w:sectPr w:rsidR="00F21EDA" w:rsidRPr="00232516" w:rsidSect="00D61FE6">
      <w:headerReference w:type="default" r:id="rId10"/>
      <w:footerReference w:type="default" r:id="rId1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D56" w:rsidRDefault="008D1D56" w:rsidP="00BD1684">
      <w:pPr>
        <w:spacing w:after="0" w:line="240" w:lineRule="auto"/>
      </w:pPr>
      <w:r>
        <w:separator/>
      </w:r>
    </w:p>
  </w:endnote>
  <w:endnote w:type="continuationSeparator" w:id="0">
    <w:p w:rsidR="008D1D56" w:rsidRDefault="008D1D56" w:rsidP="00BD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74" w:rsidRPr="00C30F4C" w:rsidRDefault="00FB5174" w:rsidP="00C30F4C">
    <w:pPr>
      <w:pStyle w:val="Zpat"/>
      <w:jc w:val="center"/>
      <w:rPr>
        <w:sz w:val="20"/>
        <w:szCs w:val="20"/>
      </w:rPr>
    </w:pPr>
    <w:r w:rsidRPr="00C30F4C">
      <w:rPr>
        <w:sz w:val="20"/>
        <w:szCs w:val="20"/>
      </w:rPr>
      <w:fldChar w:fldCharType="begin"/>
    </w:r>
    <w:r w:rsidRPr="00C30F4C">
      <w:rPr>
        <w:sz w:val="20"/>
        <w:szCs w:val="20"/>
      </w:rPr>
      <w:instrText>PAGE  \* Arabic  \* MERGEFORMAT</w:instrText>
    </w:r>
    <w:r w:rsidRPr="00C30F4C">
      <w:rPr>
        <w:sz w:val="20"/>
        <w:szCs w:val="20"/>
      </w:rPr>
      <w:fldChar w:fldCharType="separate"/>
    </w:r>
    <w:r w:rsidR="00932726">
      <w:rPr>
        <w:noProof/>
        <w:sz w:val="20"/>
        <w:szCs w:val="20"/>
      </w:rPr>
      <w:t>1</w:t>
    </w:r>
    <w:r w:rsidRPr="00C30F4C">
      <w:rPr>
        <w:sz w:val="20"/>
        <w:szCs w:val="20"/>
      </w:rPr>
      <w:fldChar w:fldCharType="end"/>
    </w:r>
    <w:r w:rsidRPr="00C30F4C">
      <w:rPr>
        <w:sz w:val="20"/>
        <w:szCs w:val="20"/>
      </w:rPr>
      <w:t>/</w:t>
    </w:r>
    <w:r w:rsidRPr="00C30F4C">
      <w:rPr>
        <w:sz w:val="20"/>
        <w:szCs w:val="20"/>
      </w:rPr>
      <w:fldChar w:fldCharType="begin"/>
    </w:r>
    <w:r w:rsidRPr="00C30F4C">
      <w:rPr>
        <w:sz w:val="20"/>
        <w:szCs w:val="20"/>
      </w:rPr>
      <w:instrText>NUMPAGES  \* Arabic  \* MERGEFORMAT</w:instrText>
    </w:r>
    <w:r w:rsidRPr="00C30F4C">
      <w:rPr>
        <w:sz w:val="20"/>
        <w:szCs w:val="20"/>
      </w:rPr>
      <w:fldChar w:fldCharType="separate"/>
    </w:r>
    <w:r w:rsidR="00932726">
      <w:rPr>
        <w:noProof/>
        <w:sz w:val="20"/>
        <w:szCs w:val="20"/>
      </w:rPr>
      <w:t>2</w:t>
    </w:r>
    <w:r w:rsidRPr="00C30F4C">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84" w:rsidRPr="00BD1684" w:rsidRDefault="00BD1684" w:rsidP="00BD1684">
    <w:pPr>
      <w:pStyle w:val="Zpat"/>
      <w:jc w:val="center"/>
      <w:rPr>
        <w:sz w:val="18"/>
        <w:szCs w:val="18"/>
      </w:rPr>
    </w:pPr>
    <w:r w:rsidRPr="00BD1684">
      <w:rPr>
        <w:sz w:val="18"/>
        <w:szCs w:val="18"/>
      </w:rPr>
      <w:fldChar w:fldCharType="begin"/>
    </w:r>
    <w:r w:rsidRPr="00BD1684">
      <w:rPr>
        <w:sz w:val="18"/>
        <w:szCs w:val="18"/>
      </w:rPr>
      <w:instrText>PAGE  \* Arabic  \* MERGEFORMAT</w:instrText>
    </w:r>
    <w:r w:rsidRPr="00BD1684">
      <w:rPr>
        <w:sz w:val="18"/>
        <w:szCs w:val="18"/>
      </w:rPr>
      <w:fldChar w:fldCharType="separate"/>
    </w:r>
    <w:r w:rsidR="00932726">
      <w:rPr>
        <w:noProof/>
        <w:sz w:val="18"/>
        <w:szCs w:val="18"/>
      </w:rPr>
      <w:t>2</w:t>
    </w:r>
    <w:r w:rsidRPr="00BD1684">
      <w:rPr>
        <w:sz w:val="18"/>
        <w:szCs w:val="18"/>
      </w:rPr>
      <w:fldChar w:fldCharType="end"/>
    </w:r>
    <w:r w:rsidRPr="00BD1684">
      <w:rPr>
        <w:sz w:val="18"/>
        <w:szCs w:val="18"/>
      </w:rPr>
      <w:t>/</w:t>
    </w:r>
    <w:r w:rsidRPr="00BD1684">
      <w:rPr>
        <w:sz w:val="18"/>
        <w:szCs w:val="18"/>
      </w:rPr>
      <w:fldChar w:fldCharType="begin"/>
    </w:r>
    <w:r w:rsidRPr="00BD1684">
      <w:rPr>
        <w:sz w:val="18"/>
        <w:szCs w:val="18"/>
      </w:rPr>
      <w:instrText>NUMPAGES  \* Arabic  \* MERGEFORMAT</w:instrText>
    </w:r>
    <w:r w:rsidRPr="00BD1684">
      <w:rPr>
        <w:sz w:val="18"/>
        <w:szCs w:val="18"/>
      </w:rPr>
      <w:fldChar w:fldCharType="separate"/>
    </w:r>
    <w:r w:rsidR="00932726">
      <w:rPr>
        <w:noProof/>
        <w:sz w:val="18"/>
        <w:szCs w:val="18"/>
      </w:rPr>
      <w:t>2</w:t>
    </w:r>
    <w:r w:rsidRPr="00BD1684">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D56" w:rsidRDefault="008D1D56" w:rsidP="00BD1684">
      <w:pPr>
        <w:spacing w:after="0" w:line="240" w:lineRule="auto"/>
      </w:pPr>
      <w:r>
        <w:separator/>
      </w:r>
    </w:p>
  </w:footnote>
  <w:footnote w:type="continuationSeparator" w:id="0">
    <w:p w:rsidR="008D1D56" w:rsidRDefault="008D1D56" w:rsidP="00BD1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single" w:sz="24" w:space="0" w:color="FDC82F"/>
      </w:tblBorders>
      <w:tblLayout w:type="fixed"/>
      <w:tblLook w:val="04A0" w:firstRow="1" w:lastRow="0" w:firstColumn="1" w:lastColumn="0" w:noHBand="0" w:noVBand="1"/>
    </w:tblPr>
    <w:tblGrid>
      <w:gridCol w:w="2127"/>
      <w:gridCol w:w="7413"/>
    </w:tblGrid>
    <w:tr w:rsidR="00FB5174" w:rsidRPr="00A02BAF" w:rsidTr="002343C9">
      <w:trPr>
        <w:trHeight w:val="983"/>
      </w:trPr>
      <w:tc>
        <w:tcPr>
          <w:tcW w:w="2127" w:type="dxa"/>
        </w:tcPr>
        <w:p w:rsidR="00FB5174" w:rsidRDefault="00FB5174" w:rsidP="002343C9">
          <w:pPr>
            <w:pStyle w:val="Zhlav"/>
          </w:pPr>
          <w:r>
            <w:rPr>
              <w:noProof/>
            </w:rPr>
            <w:drawing>
              <wp:inline distT="0" distB="0" distL="0" distR="0" wp14:anchorId="129BC721" wp14:editId="7D32E8AB">
                <wp:extent cx="896620" cy="697230"/>
                <wp:effectExtent l="0" t="0" r="0" b="7620"/>
                <wp:docPr id="6" name="Picture 8" descr="Logo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620" cy="697230"/>
                        </a:xfrm>
                        <a:prstGeom prst="rect">
                          <a:avLst/>
                        </a:prstGeom>
                        <a:noFill/>
                        <a:ln>
                          <a:noFill/>
                        </a:ln>
                      </pic:spPr>
                    </pic:pic>
                  </a:graphicData>
                </a:graphic>
              </wp:inline>
            </w:drawing>
          </w:r>
        </w:p>
      </w:tc>
      <w:tc>
        <w:tcPr>
          <w:tcW w:w="7413" w:type="dxa"/>
          <w:vAlign w:val="center"/>
        </w:tcPr>
        <w:p w:rsidR="00FB5174" w:rsidRPr="00A02BAF" w:rsidRDefault="00FB5174" w:rsidP="00B10516">
          <w:pPr>
            <w:pStyle w:val="Title-PH2ndline"/>
          </w:pPr>
          <w:r>
            <w:t>Příloha 6</w:t>
          </w:r>
          <w:r w:rsidRPr="00E86918">
            <w:t xml:space="preserve"> Smlouvy</w:t>
          </w:r>
          <w:r>
            <w:t xml:space="preserve"> </w:t>
          </w:r>
          <w:r w:rsidRPr="001940CC">
            <w:t xml:space="preserve">o poskytování služeb </w:t>
          </w:r>
          <w:proofErr w:type="spellStart"/>
          <w:r w:rsidRPr="001940CC">
            <w:t>acquirin</w:t>
          </w:r>
          <w:r>
            <w:t>gu</w:t>
          </w:r>
          <w:proofErr w:type="spellEnd"/>
          <w:r>
            <w:t xml:space="preserve"> a doprovodných služeb č. 2018/</w:t>
          </w:r>
          <w:r w:rsidR="00B10516">
            <w:t>08268</w:t>
          </w:r>
        </w:p>
      </w:tc>
    </w:tr>
  </w:tbl>
  <w:p w:rsidR="00FB5174" w:rsidRDefault="00FB517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single" w:sz="24" w:space="0" w:color="FDC82F"/>
      </w:tblBorders>
      <w:tblLayout w:type="fixed"/>
      <w:tblLook w:val="04A0" w:firstRow="1" w:lastRow="0" w:firstColumn="1" w:lastColumn="0" w:noHBand="0" w:noVBand="1"/>
    </w:tblPr>
    <w:tblGrid>
      <w:gridCol w:w="2127"/>
      <w:gridCol w:w="7413"/>
    </w:tblGrid>
    <w:tr w:rsidR="00BD1684" w:rsidRPr="00A02BAF" w:rsidTr="00417F6A">
      <w:trPr>
        <w:trHeight w:val="983"/>
      </w:trPr>
      <w:tc>
        <w:tcPr>
          <w:tcW w:w="2127" w:type="dxa"/>
        </w:tcPr>
        <w:p w:rsidR="00BD1684" w:rsidRDefault="00BD1684" w:rsidP="00417F6A">
          <w:pPr>
            <w:pStyle w:val="Zhlav"/>
          </w:pPr>
          <w:r>
            <w:rPr>
              <w:noProof/>
            </w:rPr>
            <w:drawing>
              <wp:inline distT="0" distB="0" distL="0" distR="0" wp14:anchorId="02009D39" wp14:editId="6C9C4A41">
                <wp:extent cx="896620" cy="697230"/>
                <wp:effectExtent l="0" t="0" r="0" b="7620"/>
                <wp:docPr id="5" name="Picture 8" descr="Logo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620" cy="697230"/>
                        </a:xfrm>
                        <a:prstGeom prst="rect">
                          <a:avLst/>
                        </a:prstGeom>
                        <a:noFill/>
                        <a:ln>
                          <a:noFill/>
                        </a:ln>
                      </pic:spPr>
                    </pic:pic>
                  </a:graphicData>
                </a:graphic>
              </wp:inline>
            </w:drawing>
          </w:r>
        </w:p>
      </w:tc>
      <w:tc>
        <w:tcPr>
          <w:tcW w:w="7413" w:type="dxa"/>
          <w:vAlign w:val="center"/>
        </w:tcPr>
        <w:p w:rsidR="00BD1684" w:rsidRPr="00A02BAF" w:rsidRDefault="00BD1684" w:rsidP="00B10516">
          <w:pPr>
            <w:pStyle w:val="Title-PH2ndline"/>
          </w:pPr>
          <w:r>
            <w:t>Příloha 9</w:t>
          </w:r>
          <w:r w:rsidRPr="00E86918">
            <w:t xml:space="preserve"> Smlouvy</w:t>
          </w:r>
          <w:r>
            <w:t xml:space="preserve"> </w:t>
          </w:r>
          <w:r w:rsidRPr="001940CC">
            <w:t xml:space="preserve">o poskytování služeb </w:t>
          </w:r>
          <w:proofErr w:type="spellStart"/>
          <w:r w:rsidRPr="001940CC">
            <w:t>acquirin</w:t>
          </w:r>
          <w:r w:rsidR="00CA2237">
            <w:t>gu</w:t>
          </w:r>
          <w:proofErr w:type="spellEnd"/>
          <w:r w:rsidR="00CA2237">
            <w:t xml:space="preserve"> a doprovodných služeb č. 2018/</w:t>
          </w:r>
          <w:r w:rsidR="00B10516">
            <w:t>08268</w:t>
          </w:r>
        </w:p>
      </w:tc>
    </w:tr>
  </w:tbl>
  <w:p w:rsidR="00BD1684" w:rsidRDefault="00BD168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36.75pt" o:bullet="t">
        <v:imagedata r:id="rId1" o:title=""/>
      </v:shape>
    </w:pict>
  </w:numPicBullet>
  <w:abstractNum w:abstractNumId="0">
    <w:nsid w:val="00F26A92"/>
    <w:multiLevelType w:val="hybridMultilevel"/>
    <w:tmpl w:val="87624132"/>
    <w:lvl w:ilvl="0" w:tplc="D98C7E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2360489"/>
    <w:multiLevelType w:val="hybridMultilevel"/>
    <w:tmpl w:val="904414B0"/>
    <w:lvl w:ilvl="0" w:tplc="91446DC8">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C183E79"/>
    <w:multiLevelType w:val="hybridMultilevel"/>
    <w:tmpl w:val="B7B40AB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084673A"/>
    <w:multiLevelType w:val="hybridMultilevel"/>
    <w:tmpl w:val="B7B40AB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1414629"/>
    <w:multiLevelType w:val="hybridMultilevel"/>
    <w:tmpl w:val="0CD0F43C"/>
    <w:lvl w:ilvl="0" w:tplc="91446DC8">
      <w:start w:val="1"/>
      <w:numFmt w:val="bullet"/>
      <w:lvlText w:val=""/>
      <w:lvlPicBulletId w:val="0"/>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696761D3"/>
    <w:multiLevelType w:val="hybridMultilevel"/>
    <w:tmpl w:val="2B86FE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B5A3164"/>
    <w:multiLevelType w:val="hybridMultilevel"/>
    <w:tmpl w:val="115415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DB041A7"/>
    <w:multiLevelType w:val="hybridMultilevel"/>
    <w:tmpl w:val="D92E3F80"/>
    <w:lvl w:ilvl="0" w:tplc="A0A2040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711E491B"/>
    <w:multiLevelType w:val="hybridMultilevel"/>
    <w:tmpl w:val="CADA9D0E"/>
    <w:lvl w:ilvl="0" w:tplc="171AAEFE">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97A22AD"/>
    <w:multiLevelType w:val="multilevel"/>
    <w:tmpl w:val="04349CEC"/>
    <w:lvl w:ilvl="0">
      <w:start w:val="1"/>
      <w:numFmt w:val="upperRoman"/>
      <w:pStyle w:val="Nadpis1"/>
      <w:lvlText w:val="ODDÍL %1"/>
      <w:lvlJc w:val="left"/>
      <w:pPr>
        <w:tabs>
          <w:tab w:val="num" w:pos="680"/>
        </w:tabs>
        <w:ind w:left="680" w:hanging="680"/>
      </w:pPr>
      <w:rPr>
        <w:rFonts w:cs="Times New Roman" w:hint="default"/>
        <w:color w:val="FFFFFF"/>
      </w:rPr>
    </w:lvl>
    <w:lvl w:ilvl="1">
      <w:start w:val="1"/>
      <w:numFmt w:val="decimal"/>
      <w:pStyle w:val="Nadpis2"/>
      <w:lvlText w:val="%1.%2"/>
      <w:lvlJc w:val="left"/>
      <w:pPr>
        <w:tabs>
          <w:tab w:val="num" w:pos="1247"/>
        </w:tabs>
        <w:ind w:left="4763" w:hanging="4403"/>
      </w:pPr>
      <w:rPr>
        <w:rFonts w:ascii="Calibri" w:hAnsi="Calibri" w:cs="Times New Roman" w:hint="default"/>
        <w:color w:val="003366"/>
        <w:sz w:val="24"/>
        <w:szCs w:val="24"/>
      </w:rPr>
    </w:lvl>
    <w:lvl w:ilvl="2">
      <w:start w:val="1"/>
      <w:numFmt w:val="decimal"/>
      <w:pStyle w:val="Nadpis3"/>
      <w:lvlText w:val="%1.%2.%3"/>
      <w:lvlJc w:val="left"/>
      <w:pPr>
        <w:tabs>
          <w:tab w:val="num" w:pos="720"/>
        </w:tabs>
        <w:ind w:left="720" w:hanging="360"/>
      </w:pPr>
      <w:rPr>
        <w:rFonts w:ascii="Calibri" w:hAnsi="Calibri" w:cs="Times New Roman" w:hint="default"/>
        <w:color w:val="1F497D"/>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5"/>
  </w:num>
  <w:num w:numId="2">
    <w:abstractNumId w:val="2"/>
  </w:num>
  <w:num w:numId="3">
    <w:abstractNumId w:val="8"/>
  </w:num>
  <w:num w:numId="4">
    <w:abstractNumId w:val="7"/>
  </w:num>
  <w:num w:numId="5">
    <w:abstractNumId w:val="6"/>
  </w:num>
  <w:num w:numId="6">
    <w:abstractNumId w:val="1"/>
  </w:num>
  <w:num w:numId="7">
    <w:abstractNumId w:val="9"/>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40"/>
    <w:rsid w:val="00005CFF"/>
    <w:rsid w:val="00045A90"/>
    <w:rsid w:val="001C368F"/>
    <w:rsid w:val="00232516"/>
    <w:rsid w:val="00237AD7"/>
    <w:rsid w:val="00292BE3"/>
    <w:rsid w:val="002E0ACD"/>
    <w:rsid w:val="004E2A5B"/>
    <w:rsid w:val="00533CE2"/>
    <w:rsid w:val="00737D6B"/>
    <w:rsid w:val="0078121A"/>
    <w:rsid w:val="007A4516"/>
    <w:rsid w:val="00855B8B"/>
    <w:rsid w:val="008D1D56"/>
    <w:rsid w:val="009312F3"/>
    <w:rsid w:val="00932726"/>
    <w:rsid w:val="00944F6F"/>
    <w:rsid w:val="00983508"/>
    <w:rsid w:val="00A40CC9"/>
    <w:rsid w:val="00AE02F2"/>
    <w:rsid w:val="00B02040"/>
    <w:rsid w:val="00B10516"/>
    <w:rsid w:val="00B33700"/>
    <w:rsid w:val="00B917E4"/>
    <w:rsid w:val="00B97593"/>
    <w:rsid w:val="00BD1684"/>
    <w:rsid w:val="00BE3DE5"/>
    <w:rsid w:val="00C863CE"/>
    <w:rsid w:val="00C96EF7"/>
    <w:rsid w:val="00CA2237"/>
    <w:rsid w:val="00CF1318"/>
    <w:rsid w:val="00D35C57"/>
    <w:rsid w:val="00D61FE6"/>
    <w:rsid w:val="00D911AB"/>
    <w:rsid w:val="00E64155"/>
    <w:rsid w:val="00F21EDA"/>
    <w:rsid w:val="00FB51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B239A3-CAE5-49A8-B201-DCDF01A6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Nadpis 1 kl,Section heading,H1,Section Title,Prophead level 1,Prophead 1,h1,Forward,tchead,l1,H11,H12,H13,H111,H14,H112,H15,H16,H17,H113,H121,H131,H1111,H141,H1121,H151,H161,H18,H114,H122,H132,H1112,H142,H1122,H152,H162,H171,H1131,H1211,H1311"/>
    <w:basedOn w:val="Normln"/>
    <w:next w:val="Nadpis2"/>
    <w:link w:val="Nadpis1Char"/>
    <w:qFormat/>
    <w:rsid w:val="00983508"/>
    <w:pPr>
      <w:keepNext/>
      <w:numPr>
        <w:numId w:val="7"/>
      </w:numPr>
      <w:tabs>
        <w:tab w:val="left" w:pos="527"/>
      </w:tabs>
      <w:spacing w:before="360" w:after="360" w:line="240" w:lineRule="auto"/>
      <w:outlineLvl w:val="0"/>
    </w:pPr>
    <w:rPr>
      <w:rFonts w:ascii="Verdana" w:eastAsia="Times New Roman" w:hAnsi="Verdana" w:cs="Arial"/>
      <w:b/>
      <w:bCs/>
      <w:caps/>
      <w:color w:val="000080"/>
      <w:kern w:val="32"/>
      <w:sz w:val="28"/>
      <w:szCs w:val="28"/>
    </w:rPr>
  </w:style>
  <w:style w:type="paragraph" w:styleId="Nadpis2">
    <w:name w:val="heading 2"/>
    <w:aliases w:val="Chapter,1.Seite,Sub Heading,H2,Heading 2rh,Prophead 2,Major,Major1,Major2,Major11,h2,2,Heading Two,RFP Heading 2,Activity,Subsection,l2,(1.1,1.2,1.3 etc),Level 2 Heading,Numbered indent 2,ni2,Hanging 2 Indent,numbered indent 2,h 3,dont use,2m"/>
    <w:basedOn w:val="Normln"/>
    <w:next w:val="Normln"/>
    <w:link w:val="Nadpis2Char"/>
    <w:qFormat/>
    <w:rsid w:val="00983508"/>
    <w:pPr>
      <w:keepNext/>
      <w:numPr>
        <w:ilvl w:val="1"/>
        <w:numId w:val="7"/>
      </w:numPr>
      <w:spacing w:before="360" w:after="180" w:line="240" w:lineRule="auto"/>
      <w:jc w:val="both"/>
      <w:outlineLvl w:val="1"/>
    </w:pPr>
    <w:rPr>
      <w:rFonts w:ascii="Verdana" w:eastAsia="Times New Roman" w:hAnsi="Verdana" w:cs="Arial"/>
      <w:b/>
      <w:bCs/>
      <w:iCs/>
      <w:color w:val="0000FF"/>
      <w:sz w:val="24"/>
      <w:szCs w:val="28"/>
    </w:rPr>
  </w:style>
  <w:style w:type="paragraph" w:styleId="Nadpis3">
    <w:name w:val="heading 3"/>
    <w:aliases w:val="Styl 1,H3,Nadpis_3_úroveň,Záhlaví 3,V_Head3,V_Head31,V_Head32,Podkapitola2,ASAPHeading 3,Sub Paragraph,Podkapitola21,Podkapitola 2,Podkapitola 21,Podkapitola 22,Podkapitola 23,Podkapitola 24,Podkapitola 25,Podkapitola 211,Podkapitola 221,h3"/>
    <w:basedOn w:val="Normln"/>
    <w:next w:val="Normln"/>
    <w:link w:val="Nadpis3Char"/>
    <w:qFormat/>
    <w:rsid w:val="00983508"/>
    <w:pPr>
      <w:keepNext/>
      <w:numPr>
        <w:ilvl w:val="2"/>
        <w:numId w:val="7"/>
      </w:numPr>
      <w:spacing w:before="100" w:beforeAutospacing="1" w:after="120" w:line="240" w:lineRule="auto"/>
      <w:outlineLvl w:val="2"/>
    </w:pPr>
    <w:rPr>
      <w:rFonts w:ascii="Verdana" w:eastAsia="Times New Roman" w:hAnsi="Verdana" w:cs="Arial"/>
      <w:b/>
      <w:bCs/>
      <w:color w:val="0000FF"/>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2040"/>
    <w:pPr>
      <w:ind w:left="720"/>
      <w:contextualSpacing/>
    </w:pPr>
  </w:style>
  <w:style w:type="paragraph" w:styleId="Zkladntext">
    <w:name w:val="Body Text"/>
    <w:basedOn w:val="Normln"/>
    <w:link w:val="ZkladntextChar"/>
    <w:rsid w:val="00944F6F"/>
    <w:pPr>
      <w:autoSpaceDE w:val="0"/>
      <w:autoSpaceDN w:val="0"/>
      <w:adjustRightInd w:val="0"/>
      <w:spacing w:after="0" w:line="220" w:lineRule="atLeast"/>
      <w:jc w:val="both"/>
    </w:pPr>
    <w:rPr>
      <w:rFonts w:ascii="Times New Roman" w:eastAsia="Times New Roman" w:hAnsi="Times New Roman" w:cs="Times New Roman"/>
      <w:color w:val="000000"/>
      <w:sz w:val="18"/>
      <w:szCs w:val="18"/>
    </w:rPr>
  </w:style>
  <w:style w:type="character" w:customStyle="1" w:styleId="ZkladntextChar">
    <w:name w:val="Základní text Char"/>
    <w:basedOn w:val="Standardnpsmoodstavce"/>
    <w:link w:val="Zkladntext"/>
    <w:rsid w:val="00944F6F"/>
    <w:rPr>
      <w:rFonts w:ascii="Times New Roman" w:eastAsia="Times New Roman" w:hAnsi="Times New Roman" w:cs="Times New Roman"/>
      <w:color w:val="000000"/>
      <w:sz w:val="18"/>
      <w:szCs w:val="18"/>
      <w:lang w:val="cs-CZ" w:eastAsia="cs-CZ"/>
    </w:rPr>
  </w:style>
  <w:style w:type="character" w:customStyle="1" w:styleId="Nadpis1Char">
    <w:name w:val="Nadpis 1 Char"/>
    <w:aliases w:val="Nadpis 1 kl Char,Section heading Char,H1 Char,Section Title Char,Prophead level 1 Char,Prophead 1 Char,h1 Char,Forward Char,tchead Char,l1 Char,H11 Char,H12 Char,H13 Char,H111 Char,H14 Char,H112 Char,H15 Char,H16 Char,H17 Char,H113 Char"/>
    <w:basedOn w:val="Standardnpsmoodstavce"/>
    <w:link w:val="Nadpis1"/>
    <w:rsid w:val="00983508"/>
    <w:rPr>
      <w:rFonts w:ascii="Verdana" w:eastAsia="Times New Roman" w:hAnsi="Verdana" w:cs="Arial"/>
      <w:b/>
      <w:bCs/>
      <w:caps/>
      <w:color w:val="000080"/>
      <w:kern w:val="32"/>
      <w:sz w:val="28"/>
      <w:szCs w:val="28"/>
      <w:lang w:val="cs-CZ" w:eastAsia="cs-CZ"/>
    </w:rPr>
  </w:style>
  <w:style w:type="character" w:customStyle="1" w:styleId="Nadpis2Char">
    <w:name w:val="Nadpis 2 Char"/>
    <w:aliases w:val="Chapter Char,1.Seite Char,Sub Heading Char,H2 Char,Heading 2rh Char,Prophead 2 Char,Major Char,Major1 Char,Major2 Char,Major11 Char,h2 Char,2 Char,Heading Two Char,RFP Heading 2 Char,Activity Char,Subsection Char,l2 Char,(1.1 Char,1.2 Char"/>
    <w:basedOn w:val="Standardnpsmoodstavce"/>
    <w:link w:val="Nadpis2"/>
    <w:rsid w:val="00983508"/>
    <w:rPr>
      <w:rFonts w:ascii="Verdana" w:eastAsia="Times New Roman" w:hAnsi="Verdana" w:cs="Arial"/>
      <w:b/>
      <w:bCs/>
      <w:iCs/>
      <w:color w:val="0000FF"/>
      <w:sz w:val="24"/>
      <w:szCs w:val="28"/>
      <w:lang w:val="cs-CZ" w:eastAsia="cs-CZ"/>
    </w:rPr>
  </w:style>
  <w:style w:type="character" w:customStyle="1" w:styleId="Nadpis3Char">
    <w:name w:val="Nadpis 3 Char"/>
    <w:aliases w:val="Styl 1 Char,H3 Char,Nadpis_3_úroveň Char,Záhlaví 3 Char,V_Head3 Char,V_Head31 Char,V_Head32 Char,Podkapitola2 Char,ASAPHeading 3 Char,Sub Paragraph Char,Podkapitola21 Char,Podkapitola 2 Char,Podkapitola 21 Char,Podkapitola 22 Char,h3 Char"/>
    <w:basedOn w:val="Standardnpsmoodstavce"/>
    <w:link w:val="Nadpis3"/>
    <w:rsid w:val="00983508"/>
    <w:rPr>
      <w:rFonts w:ascii="Verdana" w:eastAsia="Times New Roman" w:hAnsi="Verdana" w:cs="Arial"/>
      <w:b/>
      <w:bCs/>
      <w:color w:val="0000FF"/>
      <w:sz w:val="20"/>
      <w:szCs w:val="20"/>
      <w:u w:val="single"/>
      <w:lang w:val="cs-CZ" w:eastAsia="cs-CZ"/>
    </w:rPr>
  </w:style>
  <w:style w:type="paragraph" w:styleId="Zhlav">
    <w:name w:val="header"/>
    <w:basedOn w:val="Normln"/>
    <w:link w:val="ZhlavChar"/>
    <w:uiPriority w:val="99"/>
    <w:unhideWhenUsed/>
    <w:rsid w:val="00BD16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1684"/>
  </w:style>
  <w:style w:type="paragraph" w:styleId="Zpat">
    <w:name w:val="footer"/>
    <w:basedOn w:val="Normln"/>
    <w:link w:val="ZpatChar"/>
    <w:uiPriority w:val="99"/>
    <w:unhideWhenUsed/>
    <w:rsid w:val="00BD1684"/>
    <w:pPr>
      <w:tabs>
        <w:tab w:val="center" w:pos="4536"/>
        <w:tab w:val="right" w:pos="9072"/>
      </w:tabs>
      <w:spacing w:after="0" w:line="240" w:lineRule="auto"/>
    </w:pPr>
  </w:style>
  <w:style w:type="character" w:customStyle="1" w:styleId="ZpatChar">
    <w:name w:val="Zápatí Char"/>
    <w:basedOn w:val="Standardnpsmoodstavce"/>
    <w:link w:val="Zpat"/>
    <w:uiPriority w:val="99"/>
    <w:rsid w:val="00BD1684"/>
  </w:style>
  <w:style w:type="table" w:styleId="Mkatabulky">
    <w:name w:val="Table Grid"/>
    <w:basedOn w:val="Normlntabulka"/>
    <w:uiPriority w:val="59"/>
    <w:rsid w:val="00BD1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PH2ndline">
    <w:name w:val="Title - PH 2nd line"/>
    <w:basedOn w:val="Normln"/>
    <w:link w:val="Title-PH2ndlineChar"/>
    <w:autoRedefine/>
    <w:qFormat/>
    <w:rsid w:val="00BD1684"/>
    <w:pPr>
      <w:widowControl w:val="0"/>
      <w:autoSpaceDE w:val="0"/>
      <w:autoSpaceDN w:val="0"/>
      <w:adjustRightInd w:val="0"/>
      <w:spacing w:after="0" w:line="240" w:lineRule="auto"/>
    </w:pPr>
    <w:rPr>
      <w:rFonts w:ascii="Calibri" w:eastAsiaTheme="majorEastAsia" w:hAnsi="Calibri" w:cs="Arial"/>
      <w:b/>
      <w:bCs/>
      <w:color w:val="002776"/>
      <w:spacing w:val="5"/>
      <w:kern w:val="28"/>
      <w:sz w:val="24"/>
      <w:szCs w:val="32"/>
      <w:shd w:val="clear" w:color="auto" w:fill="FFFFFF"/>
    </w:rPr>
  </w:style>
  <w:style w:type="character" w:customStyle="1" w:styleId="Title-PH2ndlineChar">
    <w:name w:val="Title - PH 2nd line Char"/>
    <w:basedOn w:val="Standardnpsmoodstavce"/>
    <w:link w:val="Title-PH2ndline"/>
    <w:rsid w:val="00BD1684"/>
    <w:rPr>
      <w:rFonts w:ascii="Calibri" w:eastAsiaTheme="majorEastAsia" w:hAnsi="Calibri" w:cs="Arial"/>
      <w:b/>
      <w:bCs/>
      <w:color w:val="002776"/>
      <w:spacing w:val="5"/>
      <w:kern w:val="28"/>
      <w:sz w:val="24"/>
      <w:szCs w:val="32"/>
      <w:lang w:val="cs-CZ"/>
    </w:rPr>
  </w:style>
  <w:style w:type="paragraph" w:styleId="Textbubliny">
    <w:name w:val="Balloon Text"/>
    <w:basedOn w:val="Normln"/>
    <w:link w:val="TextbublinyChar"/>
    <w:uiPriority w:val="99"/>
    <w:semiHidden/>
    <w:unhideWhenUsed/>
    <w:rsid w:val="00BD16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16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5A546-92E5-41D7-9B7E-8667E811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2776</Characters>
  <Application>Microsoft Office Word</Application>
  <DocSecurity>4</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KBC Group</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JD14971</dc:creator>
  <cp:lastModifiedBy>Kadlecová Zuzana Bc. DiS.</cp:lastModifiedBy>
  <cp:revision>2</cp:revision>
  <cp:lastPrinted>2018-06-08T11:02:00Z</cp:lastPrinted>
  <dcterms:created xsi:type="dcterms:W3CDTF">2018-07-20T11:17:00Z</dcterms:created>
  <dcterms:modified xsi:type="dcterms:W3CDTF">2018-07-20T11:17:00Z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DocumentTagging.ClassificationMark.P00">
    <vt:lpwstr>&lt;ClassificationMark xmlns:xsi="http://www.w3.org/2001/XMLSchema-instance" xmlns:xsd="http://www.w3.org/2001/XMLSchema" margin="NaN" class="C0" owner="JD14971" position="TopLeft" marginX="0" marginY="0" classifiedOn="2018-04-24T09:04:36.4346787+02:00"</vt:lpwstr>
  </property>
  <property fmtid="{D5CDD505-2E9C-101B-9397-08002B2CF9AE}" pid="3" name="CSOB-DocumentTagging.ClassificationMark.P01">
    <vt:lpwstr> showPrintedBy="false" showPrintDate="false" language="en" ApplicationVersion="Microsoft Word, 15.0" addinVersion="5.8.11.0" template="CSOB"&gt;&lt;history bulk="false" class="Public" code="C0" user="KLUCHOVÁ Lucie" date="2018-04-24T09:04:36.4346787+02:00"</vt:lpwstr>
  </property>
  <property fmtid="{D5CDD505-2E9C-101B-9397-08002B2CF9AE}" pid="4" name="CSOB-DocumentTagging.ClassificationMark.P02">
    <vt:lpwstr> /&gt;&lt;recipients /&gt;&lt;documentOwners /&gt;&lt;/ClassificationMark&gt;</vt:lpwstr>
  </property>
  <property fmtid="{D5CDD505-2E9C-101B-9397-08002B2CF9AE}" pid="5" name="CSOB-DocumentTagging.ClassificationMark">
    <vt:lpwstr>￼PARTS:3</vt:lpwstr>
  </property>
  <property fmtid="{D5CDD505-2E9C-101B-9397-08002B2CF9AE}" pid="6" name="CSOB-DocumentClasification">
    <vt:lpwstr>Public</vt:lpwstr>
  </property>
  <property fmtid="{D5CDD505-2E9C-101B-9397-08002B2CF9AE}" pid="7" name="CSOB-DLP">
    <vt:lpwstr>CSOB-DLP:TAGPublic</vt:lpwstr>
  </property>
</Properties>
</file>