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r w:rsidRPr="004F4681">
        <w:t xml:space="preserve">Dodatek č. </w:t>
      </w:r>
      <w:r w:rsidR="00337F3E">
        <w:t>6</w:t>
      </w:r>
      <w:r w:rsidRPr="004F4681">
        <w:t xml:space="preserve"> k</w:t>
      </w:r>
      <w:r w:rsidR="004F7BFA">
        <w:t xml:space="preserve"> Dohodě </w:t>
      </w:r>
      <w:r w:rsidR="004F7BFA" w:rsidRPr="004F7BFA">
        <w:t>o používání výplatních strojů k úhradě cen za poštovní služby</w:t>
      </w:r>
      <w:r w:rsidR="001C2D26" w:rsidRPr="004F4681">
        <w:br/>
      </w:r>
      <w:r w:rsidR="00AA50CF">
        <w:t>č</w:t>
      </w:r>
      <w:r w:rsidR="00367F2B" w:rsidRPr="004F4681">
        <w:t xml:space="preserve">íslo </w:t>
      </w:r>
      <w:r w:rsidR="00337F3E">
        <w:t>2011/0658</w:t>
      </w:r>
      <w:r w:rsidR="00700EF7">
        <w:t>, ev.č.4500150181-00-06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r w:rsidRPr="001C2D26">
              <w:rPr>
                <w:b/>
              </w:rPr>
              <w:t>s.p</w:t>
            </w:r>
            <w:proofErr w:type="spellEnd"/>
            <w:r w:rsidRPr="001C2D26">
              <w:rPr>
                <w:b/>
              </w:rPr>
              <w:t>.</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4F7BFA" w:rsidP="004F7BFA">
            <w:pPr>
              <w:pStyle w:val="cpTabulkasmluvnistrany"/>
              <w:framePr w:hSpace="0" w:wrap="auto" w:vAnchor="margin" w:hAnchor="text" w:yAlign="inline"/>
              <w:spacing w:after="60"/>
              <w:jc w:val="both"/>
            </w:pPr>
            <w:r>
              <w:t>Štěpán Čekal, vedoucí odboru VIP obchod</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4F7BFA" w:rsidP="004F7BFA">
            <w:pPr>
              <w:pStyle w:val="cpTabulkasmluvnistrany"/>
              <w:framePr w:hSpace="0" w:wrap="auto" w:vAnchor="margin" w:hAnchor="text" w:yAlign="inline"/>
              <w:spacing w:after="60"/>
              <w:jc w:val="both"/>
            </w:pPr>
            <w:r w:rsidRPr="004F7BFA">
              <w:t>133406370/0300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4F7BFA" w:rsidP="001C2D26">
            <w:pPr>
              <w:pStyle w:val="cpTabulkasmluvnistrany"/>
              <w:framePr w:hSpace="0" w:wrap="auto" w:vAnchor="margin" w:hAnchor="text" w:yAlign="inline"/>
              <w:spacing w:after="60"/>
              <w:jc w:val="both"/>
            </w:pPr>
            <w:r w:rsidRPr="004F7BFA">
              <w:t xml:space="preserve">Česká pošta, </w:t>
            </w:r>
            <w:proofErr w:type="spellStart"/>
            <w:r w:rsidRPr="004F7BFA">
              <w:t>s.p</w:t>
            </w:r>
            <w:proofErr w:type="spellEnd"/>
            <w:r w:rsidRPr="004F7BFA">
              <w:t>., odbor VIP obchod, Poštovní přihrádka 99, 225 99 Praha 025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4F7BFA" w:rsidP="001C2D26">
            <w:pPr>
              <w:pStyle w:val="cpTabulkasmluvnistrany"/>
              <w:framePr w:hSpace="0" w:wrap="auto" w:vAnchor="margin" w:hAnchor="text" w:yAlign="inline"/>
              <w:spacing w:after="60"/>
              <w:jc w:val="both"/>
            </w:pPr>
            <w:r w:rsidRPr="004F7BFA">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41214A" w:rsidRPr="001C2D26" w:rsidTr="000B0839">
        <w:tc>
          <w:tcPr>
            <w:tcW w:w="9851" w:type="dxa"/>
            <w:gridSpan w:val="2"/>
          </w:tcPr>
          <w:p w:rsidR="0041214A" w:rsidRPr="001C2D26" w:rsidRDefault="00427017" w:rsidP="0041214A">
            <w:pPr>
              <w:pStyle w:val="cpTabulkasmluvnistrany"/>
              <w:framePr w:hSpace="0" w:wrap="auto" w:vAnchor="margin" w:hAnchor="text" w:yAlign="inline"/>
              <w:jc w:val="both"/>
            </w:pPr>
            <w:r>
              <w:rPr>
                <w:b/>
              </w:rP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se sídlem/místem podnikání:</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IČ</w:t>
            </w:r>
            <w:r>
              <w:t>O</w:t>
            </w:r>
            <w:r w:rsidRPr="001C2D26">
              <w:t>:</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DIČ:</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zastoupen:</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zapsán/a v obchodním rejstříku</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bankovní spojení:</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číslo účtu:</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1C2D26">
              <w:t>korespondenční adresa:</w:t>
            </w:r>
          </w:p>
        </w:tc>
        <w:tc>
          <w:tcPr>
            <w:tcW w:w="6323" w:type="dxa"/>
          </w:tcPr>
          <w:p w:rsidR="0041214A" w:rsidRPr="001C2D26" w:rsidRDefault="00427017" w:rsidP="0041214A">
            <w:pPr>
              <w:pStyle w:val="cpTabulkasmluvnistrany"/>
              <w:framePr w:hSpace="0" w:wrap="auto" w:vAnchor="margin" w:hAnchor="text" w:yAlign="inline"/>
              <w:spacing w:after="60"/>
              <w:jc w:val="both"/>
            </w:pPr>
            <w:r>
              <w:t>x</w:t>
            </w:r>
          </w:p>
        </w:tc>
      </w:tr>
      <w:tr w:rsidR="0041214A" w:rsidRPr="001C2D26" w:rsidTr="003C5BF8">
        <w:tc>
          <w:tcPr>
            <w:tcW w:w="3528" w:type="dxa"/>
          </w:tcPr>
          <w:p w:rsidR="0041214A" w:rsidRPr="001C2D26" w:rsidRDefault="0041214A" w:rsidP="0041214A">
            <w:pPr>
              <w:pStyle w:val="cpTabulkasmluvnistrany"/>
              <w:framePr w:hSpace="0" w:wrap="auto" w:vAnchor="margin" w:hAnchor="text" w:yAlign="inline"/>
              <w:spacing w:after="60"/>
              <w:jc w:val="both"/>
            </w:pPr>
            <w:r w:rsidRPr="0041214A">
              <w:t>ID CČK:</w:t>
            </w:r>
          </w:p>
        </w:tc>
        <w:tc>
          <w:tcPr>
            <w:tcW w:w="6323" w:type="dxa"/>
          </w:tcPr>
          <w:p w:rsidR="0041214A" w:rsidRPr="00884FC6" w:rsidRDefault="00427017" w:rsidP="0041214A">
            <w:pPr>
              <w:pStyle w:val="cpTabulkasmluvnistrany"/>
              <w:framePr w:hSpace="0" w:wrap="auto" w:vAnchor="margin" w:hAnchor="text" w:yAlign="inline"/>
              <w:spacing w:after="60"/>
              <w:jc w:val="both"/>
            </w:pPr>
            <w:r>
              <w:t>x</w:t>
            </w:r>
          </w:p>
        </w:tc>
      </w:tr>
      <w:tr w:rsidR="0041214A" w:rsidRPr="001C2D26" w:rsidTr="001C2D26">
        <w:tc>
          <w:tcPr>
            <w:tcW w:w="9851" w:type="dxa"/>
            <w:gridSpan w:val="2"/>
          </w:tcPr>
          <w:p w:rsidR="0041214A" w:rsidRPr="001C2D26" w:rsidRDefault="0041214A" w:rsidP="0041214A">
            <w:pPr>
              <w:pStyle w:val="cpTabulkasmluvnistrany"/>
              <w:framePr w:hSpace="0" w:wrap="auto" w:vAnchor="margin" w:hAnchor="text" w:yAlign="inline"/>
              <w:spacing w:after="60"/>
              <w:jc w:val="both"/>
            </w:pPr>
            <w:r w:rsidRPr="0041214A">
              <w:t>dále jen "Uživatel"</w:t>
            </w:r>
          </w:p>
        </w:tc>
      </w:tr>
      <w:tr w:rsidR="0041214A" w:rsidRPr="001C2D26" w:rsidTr="001C2D26">
        <w:tc>
          <w:tcPr>
            <w:tcW w:w="9851" w:type="dxa"/>
            <w:gridSpan w:val="2"/>
          </w:tcPr>
          <w:p w:rsidR="0041214A" w:rsidRDefault="0041214A" w:rsidP="0041214A">
            <w:pPr>
              <w:pStyle w:val="cpTabulkasmluvnistrany"/>
              <w:framePr w:hSpace="0" w:wrap="auto" w:vAnchor="margin" w:hAnchor="text" w:yAlign="inline"/>
              <w:spacing w:after="60"/>
              <w:jc w:val="both"/>
            </w:pPr>
          </w:p>
        </w:tc>
      </w:tr>
    </w:tbl>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t>Ujednání</w:t>
      </w:r>
    </w:p>
    <w:p w:rsidR="001E712E" w:rsidRPr="00B27BC8" w:rsidRDefault="004F7BFA" w:rsidP="004F7BFA">
      <w:pPr>
        <w:pStyle w:val="cpodstavecslovan1"/>
      </w:pPr>
      <w:r>
        <w:t xml:space="preserve">Strany Dohody </w:t>
      </w:r>
      <w:r w:rsidR="001E712E" w:rsidRPr="00B27BC8">
        <w:t xml:space="preserve">se dohodly na změně obsahu </w:t>
      </w:r>
      <w:r>
        <w:t>Dohody</w:t>
      </w:r>
      <w:r w:rsidRPr="004F7BFA">
        <w:t xml:space="preserve"> o používání výplatních strojů</w:t>
      </w:r>
      <w:r>
        <w:t xml:space="preserve"> k úhradě cen za poštovní služby</w:t>
      </w:r>
      <w:r w:rsidR="001E712E" w:rsidRPr="00B27BC8">
        <w:t xml:space="preserve">, č. </w:t>
      </w:r>
      <w:r w:rsidR="0041214A">
        <w:rPr>
          <w:rStyle w:val="P-HEAD-WBULLETSChar"/>
          <w:rFonts w:ascii="Times New Roman" w:hAnsi="Times New Roman"/>
        </w:rPr>
        <w:t>2011/0658</w:t>
      </w:r>
      <w:r>
        <w:rPr>
          <w:rStyle w:val="P-HEAD-WBULLETSChar"/>
          <w:rFonts w:ascii="Times New Roman" w:hAnsi="Times New Roman"/>
        </w:rPr>
        <w:t xml:space="preserve"> </w:t>
      </w:r>
      <w:r w:rsidR="001E712E" w:rsidRPr="00B27BC8">
        <w:t xml:space="preserve">ze dne </w:t>
      </w:r>
      <w:r w:rsidR="00ED7D05">
        <w:rPr>
          <w:rStyle w:val="P-HEAD-WBULLETSChar"/>
          <w:rFonts w:ascii="Times New Roman" w:hAnsi="Times New Roman"/>
        </w:rPr>
        <w:t>25.7.2011</w:t>
      </w:r>
      <w:r>
        <w:rPr>
          <w:rStyle w:val="P-HEAD-WBULLETSChar"/>
          <w:rFonts w:ascii="Times New Roman" w:hAnsi="Times New Roman"/>
        </w:rPr>
        <w:t xml:space="preserve"> </w:t>
      </w:r>
      <w:r w:rsidR="001E712E" w:rsidRPr="00B27BC8">
        <w:rPr>
          <w:bCs/>
        </w:rPr>
        <w:t xml:space="preserve">ve znění </w:t>
      </w:r>
      <w:r>
        <w:rPr>
          <w:bCs/>
        </w:rPr>
        <w:t xml:space="preserve">Dodatku </w:t>
      </w:r>
      <w:r w:rsidR="0041214A">
        <w:rPr>
          <w:bCs/>
        </w:rPr>
        <w:t xml:space="preserve">č. 1 ze dne </w:t>
      </w:r>
      <w:r w:rsidR="00A12B87">
        <w:rPr>
          <w:bCs/>
        </w:rPr>
        <w:t>12.1.2012</w:t>
      </w:r>
      <w:r w:rsidR="0041214A">
        <w:rPr>
          <w:bCs/>
        </w:rPr>
        <w:t xml:space="preserve">, Dodatku č. 2 ze dne </w:t>
      </w:r>
      <w:r w:rsidR="00A12B87">
        <w:rPr>
          <w:bCs/>
        </w:rPr>
        <w:t>17.12.2012</w:t>
      </w:r>
      <w:r w:rsidR="0041214A">
        <w:rPr>
          <w:bCs/>
        </w:rPr>
        <w:t xml:space="preserve">, Dodatku č. 3 ze dne </w:t>
      </w:r>
      <w:r w:rsidR="00A12B87">
        <w:rPr>
          <w:bCs/>
        </w:rPr>
        <w:t>15.3.2013</w:t>
      </w:r>
      <w:r w:rsidR="0041214A">
        <w:rPr>
          <w:bCs/>
        </w:rPr>
        <w:t xml:space="preserve">, Dodatku č. 4 ze dne </w:t>
      </w:r>
      <w:r w:rsidR="00A12B87">
        <w:rPr>
          <w:bCs/>
        </w:rPr>
        <w:t>26.3.2014</w:t>
      </w:r>
      <w:r w:rsidR="0041214A">
        <w:rPr>
          <w:bCs/>
        </w:rPr>
        <w:t xml:space="preserve"> a Dodatku č. 5 ze dne 15.4.2015</w:t>
      </w:r>
      <w:r w:rsidR="00AA50CF">
        <w:rPr>
          <w:bCs/>
        </w:rPr>
        <w:t xml:space="preserve"> </w:t>
      </w:r>
      <w:r w:rsidR="001E712E" w:rsidRPr="00B27BC8">
        <w:rPr>
          <w:bCs/>
        </w:rPr>
        <w:t>(dále jen „</w:t>
      </w:r>
      <w:r>
        <w:rPr>
          <w:bCs/>
        </w:rPr>
        <w:t>Dohoda</w:t>
      </w:r>
      <w:r w:rsidR="001E712E" w:rsidRPr="00B27BC8">
        <w:rPr>
          <w:bCs/>
        </w:rPr>
        <w:t>“</w:t>
      </w:r>
      <w:r w:rsidR="001E712E" w:rsidRPr="00B27BC8">
        <w:t>), a to následujícím způsobem:</w:t>
      </w:r>
    </w:p>
    <w:p w:rsidR="00912589" w:rsidRDefault="00912589" w:rsidP="001C2D26">
      <w:pPr>
        <w:pStyle w:val="cpodstavecslovan1"/>
      </w:pPr>
      <w:r w:rsidRPr="00912589">
        <w:lastRenderedPageBreak/>
        <w:t>Strany Dohody se dohodly na úplném nahraz</w:t>
      </w:r>
      <w:r w:rsidR="0041214A">
        <w:t>ení stávajícího ustanovení čl. 6</w:t>
      </w:r>
      <w:r w:rsidRPr="00912589">
        <w:t xml:space="preserve">, bodu </w:t>
      </w:r>
      <w:r w:rsidR="0041214A">
        <w:t>6.3</w:t>
      </w:r>
      <w:r w:rsidRPr="00912589">
        <w:rPr>
          <w:rFonts w:eastAsia="Calibri"/>
          <w:lang w:eastAsia="en-US"/>
        </w:rPr>
        <w:t xml:space="preserve"> </w:t>
      </w:r>
      <w:r w:rsidRPr="00912589">
        <w:t xml:space="preserve">ustanoveními </w:t>
      </w:r>
      <w:r w:rsidR="0041214A">
        <w:t>6.3 až 6.5</w:t>
      </w:r>
    </w:p>
    <w:p w:rsidR="00912589" w:rsidRDefault="0041214A" w:rsidP="00912589">
      <w:pPr>
        <w:pStyle w:val="cpodstavecslovan1"/>
        <w:numPr>
          <w:ilvl w:val="0"/>
          <w:numId w:val="0"/>
        </w:numPr>
        <w:ind w:left="624"/>
      </w:pPr>
      <w:r>
        <w:t>6.3</w:t>
      </w:r>
      <w:r w:rsidR="00912589">
        <w:t xml:space="preserve">      Česká pošta, </w:t>
      </w:r>
      <w:proofErr w:type="spellStart"/>
      <w:r w:rsidR="00912589">
        <w:t>s.p</w:t>
      </w:r>
      <w:proofErr w:type="spellEnd"/>
      <w:r w:rsidR="00912589">
        <w:t xml:space="preserve">., není povinna uzavřít poštovní smlouvu v případě, že předmětem této smlouvy je dodání Zásilek, které byly podány u jiného provozovatele poštovních služeb. Uživatel, který u České pošty, </w:t>
      </w:r>
      <w:proofErr w:type="spellStart"/>
      <w:r w:rsidR="00912589">
        <w:t>s.p</w:t>
      </w:r>
      <w:proofErr w:type="spellEnd"/>
      <w:r w:rsidR="00912589">
        <w:t xml:space="preserve">., podává Zásilky, bere na vědomí, že pokud zaviněně zamlčí České poště, </w:t>
      </w:r>
      <w:proofErr w:type="spellStart"/>
      <w:r w:rsidR="00912589">
        <w:t>s.p</w:t>
      </w:r>
      <w:proofErr w:type="spellEnd"/>
      <w:r w:rsidR="00912589">
        <w:t xml:space="preserve">., skutečnost, že podávaná Zásilka pochází od jiného provozovatele poštovních služeb, může tím České poště, </w:t>
      </w:r>
      <w:proofErr w:type="spellStart"/>
      <w:r w:rsidR="00912589">
        <w:t>s.p</w:t>
      </w:r>
      <w:proofErr w:type="spellEnd"/>
      <w:r w:rsidR="00912589">
        <w:t>., způsobit škodu a dopustit se trestného činu nebo přestupku podvodu.</w:t>
      </w:r>
    </w:p>
    <w:p w:rsidR="00912589" w:rsidRDefault="0041214A" w:rsidP="00912589">
      <w:pPr>
        <w:pStyle w:val="cpodstavecslovan1"/>
        <w:numPr>
          <w:ilvl w:val="0"/>
          <w:numId w:val="0"/>
        </w:numPr>
        <w:ind w:left="624"/>
      </w:pPr>
      <w:r>
        <w:t>6.4</w:t>
      </w:r>
      <w:r w:rsidR="00912589">
        <w:tab/>
        <w:t>V případě, že jsou některé z výplatních</w:t>
      </w:r>
      <w:r w:rsidR="005520BD">
        <w:t xml:space="preserve"> strojů uvedených v příloze č. 4</w:t>
      </w:r>
      <w:r w:rsidR="00912589">
        <w:t xml:space="preserve"> používány Uživatelem k vyplácení Zásilek převzatých, resp. pocházejících od jiného provozovatele poštovních služeb, než je Česká pošta, </w:t>
      </w:r>
      <w:proofErr w:type="spellStart"/>
      <w:r w:rsidR="00912589">
        <w:t>s.p</w:t>
      </w:r>
      <w:proofErr w:type="spellEnd"/>
      <w:r w:rsidR="00912589">
        <w:t xml:space="preserve">., je Uživatel povinen České poště, </w:t>
      </w:r>
      <w:proofErr w:type="spellStart"/>
      <w:r w:rsidR="00912589">
        <w:t>s.p</w:t>
      </w:r>
      <w:proofErr w:type="spellEnd"/>
      <w:r w:rsidR="00912589">
        <w:t xml:space="preserve">., sdělit, které ze Zásilek vyplacených některým z výplatních strojů uvedených v příloze č. 1 byly převzaty, resp. pocházejí od jiného provozovatele poštovních služeb, než je Česká pošta, </w:t>
      </w:r>
      <w:proofErr w:type="spellStart"/>
      <w:r w:rsidR="00912589">
        <w:t>s.p</w:t>
      </w:r>
      <w:proofErr w:type="spellEnd"/>
      <w:r w:rsidR="00912589">
        <w:t xml:space="preserve">., a sdělit jeho totožnost. Uživatel se zprostí informační povinnosti vůči České poště, </w:t>
      </w:r>
      <w:proofErr w:type="spellStart"/>
      <w:r w:rsidR="00912589">
        <w:t>s.p</w:t>
      </w:r>
      <w:proofErr w:type="spellEnd"/>
      <w:r w:rsidR="00912589">
        <w:t xml:space="preserve">., dle předchozí věty ve vztahu k Zásilkám pocházejícím od jiného provozovatele poštovních služeb, než je Česká pošta, </w:t>
      </w:r>
      <w:proofErr w:type="spellStart"/>
      <w:r w:rsidR="00912589">
        <w:t>s.p</w:t>
      </w:r>
      <w:proofErr w:type="spellEnd"/>
      <w:r w:rsidR="00912589">
        <w:t xml:space="preserve">., pokud na žádost České pošty, </w:t>
      </w:r>
      <w:proofErr w:type="spellStart"/>
      <w:r w:rsidR="00912589">
        <w:t>s.p</w:t>
      </w:r>
      <w:proofErr w:type="spellEnd"/>
      <w:r w:rsidR="00912589">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rsidR="00912589">
        <w:t>s.p</w:t>
      </w:r>
      <w:proofErr w:type="spellEnd"/>
      <w:r w:rsidR="00912589">
        <w:t>., informovat způsobem dle první věty tohoto odstavce.</w:t>
      </w:r>
    </w:p>
    <w:p w:rsidR="00912589" w:rsidRDefault="0041214A" w:rsidP="005520BD">
      <w:pPr>
        <w:pStyle w:val="cpodstavecslovan1"/>
        <w:numPr>
          <w:ilvl w:val="0"/>
          <w:numId w:val="0"/>
        </w:numPr>
        <w:ind w:left="624"/>
      </w:pPr>
      <w:r>
        <w:t>6.5</w:t>
      </w:r>
      <w:r w:rsidR="00912589">
        <w:tab/>
        <w:t xml:space="preserve">V případě vědomého porušení povinnosti sdělit České poště, </w:t>
      </w:r>
      <w:proofErr w:type="spellStart"/>
      <w:r w:rsidR="00912589">
        <w:t>s.p</w:t>
      </w:r>
      <w:proofErr w:type="spellEnd"/>
      <w:r w:rsidR="00912589">
        <w:t xml:space="preserve">., které ze Zásilek vyplacených některým z výplatních strojů uvedených v příloze č. 1 byly převzaty, resp. pocházejí od jiného provozovatele poštovních služeb, než je Česká pošta, </w:t>
      </w:r>
      <w:proofErr w:type="spellStart"/>
      <w:r w:rsidR="00912589">
        <w:t>s.p</w:t>
      </w:r>
      <w:proofErr w:type="spellEnd"/>
      <w:r w:rsidR="00912589">
        <w:t xml:space="preserve">., spolu s uvedením jeho totožnosti, je Uživatel povinen uhradit České poště, </w:t>
      </w:r>
      <w:proofErr w:type="spellStart"/>
      <w:r w:rsidR="00912589">
        <w:t>s.p</w:t>
      </w:r>
      <w:proofErr w:type="spellEnd"/>
      <w:r w:rsidR="00912589">
        <w:t>., smluvní pokutu ve výši 100,- Kč za každou Zásilku, u níž nebyla tato povinnost splněna.</w:t>
      </w:r>
      <w:r w:rsidR="005520BD" w:rsidRPr="005520BD">
        <w:t xml:space="preserve"> V případě, že se Česká pošta, </w:t>
      </w:r>
      <w:proofErr w:type="spellStart"/>
      <w:r w:rsidR="005520BD" w:rsidRPr="005520BD">
        <w:t>s.p</w:t>
      </w:r>
      <w:proofErr w:type="spellEnd"/>
      <w:r w:rsidR="005520BD" w:rsidRPr="005520BD">
        <w:t xml:space="preserve">., bude domnívat, že jsou dány důvody pro uplatnění smluvní pokuty vůči Uživateli, zavazuje se Uživatele o tomto písemně informovat. Uživatel je oprávněn se k tvrzením České pošty, </w:t>
      </w:r>
      <w:proofErr w:type="spellStart"/>
      <w:r w:rsidR="005520BD" w:rsidRPr="005520BD">
        <w:t>s.p</w:t>
      </w:r>
      <w:proofErr w:type="spellEnd"/>
      <w:r w:rsidR="005520BD" w:rsidRPr="005520BD">
        <w:t>., vyjádřit do tří týdnů.</w:t>
      </w:r>
      <w:r w:rsidR="005520BD">
        <w:t xml:space="preserve"> </w:t>
      </w:r>
      <w:r w:rsidR="00912589">
        <w:t>“</w:t>
      </w:r>
    </w:p>
    <w:p w:rsidR="005520BD" w:rsidRDefault="005520BD" w:rsidP="005520BD">
      <w:pPr>
        <w:pStyle w:val="cpodstavecslovan1"/>
        <w:numPr>
          <w:ilvl w:val="0"/>
          <w:numId w:val="0"/>
        </w:numPr>
        <w:ind w:left="624" w:hanging="624"/>
      </w:pPr>
    </w:p>
    <w:p w:rsidR="005520BD" w:rsidRPr="005520BD" w:rsidRDefault="005520BD" w:rsidP="005520BD">
      <w:pPr>
        <w:pStyle w:val="cpodstavecslovan1"/>
      </w:pPr>
      <w:r w:rsidRPr="005520BD">
        <w:t xml:space="preserve">Strany Dohody se dohodly na </w:t>
      </w:r>
      <w:r w:rsidR="00ED7D05">
        <w:t>doplnění stávajícího textu Čl. 7</w:t>
      </w:r>
      <w:r w:rsidRPr="005520BD">
        <w:t>.</w:t>
      </w:r>
      <w:r w:rsidR="00ED7D05">
        <w:t xml:space="preserve"> Závěrečná ustanovení o bod č. 7.12, 7.13, 7.14, 7.</w:t>
      </w:r>
      <w:r w:rsidRPr="005520BD">
        <w:t>1</w:t>
      </w:r>
      <w:r w:rsidR="00ED7D05">
        <w:t>5, 7.16 a 7.17</w:t>
      </w:r>
      <w:r w:rsidRPr="005520BD">
        <w:t xml:space="preserve"> Dohody, a to o text:</w:t>
      </w:r>
    </w:p>
    <w:p w:rsidR="005520BD" w:rsidRPr="005520BD" w:rsidRDefault="00ED7D05" w:rsidP="00ED7D05">
      <w:pPr>
        <w:pStyle w:val="cpodstavecslovan1"/>
        <w:numPr>
          <w:ilvl w:val="0"/>
          <w:numId w:val="0"/>
        </w:numPr>
        <w:ind w:left="624"/>
      </w:pPr>
      <w:r>
        <w:t>7.12</w:t>
      </w:r>
      <w:r>
        <w:tab/>
      </w:r>
      <w:r w:rsidR="005520BD" w:rsidRPr="005520BD">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5520BD" w:rsidRPr="005520BD" w:rsidRDefault="00ED7D05" w:rsidP="00ED7D05">
      <w:pPr>
        <w:pStyle w:val="cpodstavecslovan1"/>
        <w:numPr>
          <w:ilvl w:val="0"/>
          <w:numId w:val="0"/>
        </w:numPr>
        <w:ind w:left="624"/>
      </w:pPr>
      <w:r>
        <w:t>7.13</w:t>
      </w:r>
      <w:r>
        <w:tab/>
      </w:r>
      <w:r w:rsidR="005520BD" w:rsidRPr="005520BD">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520BD" w:rsidRPr="005520BD" w:rsidRDefault="00ED7D05" w:rsidP="00ED7D05">
      <w:pPr>
        <w:pStyle w:val="cpodstavecslovan1"/>
        <w:numPr>
          <w:ilvl w:val="0"/>
          <w:numId w:val="0"/>
        </w:numPr>
        <w:ind w:left="624"/>
      </w:pPr>
      <w:r>
        <w:t>7.14</w:t>
      </w:r>
      <w:r>
        <w:tab/>
      </w:r>
      <w:r w:rsidR="005520BD" w:rsidRPr="005520BD">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520BD" w:rsidRPr="005520BD" w:rsidRDefault="00ED7D05" w:rsidP="00ED7D05">
      <w:pPr>
        <w:pStyle w:val="cpodstavecslovan1"/>
        <w:numPr>
          <w:ilvl w:val="0"/>
          <w:numId w:val="0"/>
        </w:numPr>
        <w:ind w:left="624"/>
      </w:pPr>
      <w:r>
        <w:lastRenderedPageBreak/>
        <w:t>7.15</w:t>
      </w:r>
      <w:r>
        <w:tab/>
      </w:r>
      <w:r w:rsidR="005520BD" w:rsidRPr="005520BD">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520BD" w:rsidRPr="005520BD" w:rsidRDefault="00ED7D05" w:rsidP="00ED7D05">
      <w:pPr>
        <w:pStyle w:val="cpodstavecslovan1"/>
        <w:numPr>
          <w:ilvl w:val="0"/>
          <w:numId w:val="0"/>
        </w:numPr>
        <w:ind w:left="624"/>
      </w:pPr>
      <w:r>
        <w:t>7.16</w:t>
      </w:r>
      <w:r>
        <w:tab/>
      </w:r>
      <w:r w:rsidR="005520BD" w:rsidRPr="005520BD">
        <w:t xml:space="preserve"> Povinnost mlčenlivosti trvá bez ohledu na ukončení smluvního vztahu založeného touto Dohodou.</w:t>
      </w:r>
    </w:p>
    <w:p w:rsidR="00912589" w:rsidRPr="00B27BC8" w:rsidRDefault="00ED7D05" w:rsidP="00ED7D05">
      <w:pPr>
        <w:pStyle w:val="cpodstavecslovan1"/>
        <w:numPr>
          <w:ilvl w:val="0"/>
          <w:numId w:val="0"/>
        </w:numPr>
        <w:ind w:left="624"/>
      </w:pPr>
      <w:r>
        <w:t>7.17</w:t>
      </w:r>
      <w:r>
        <w:tab/>
      </w:r>
      <w:r w:rsidR="005520BD" w:rsidRPr="005520BD">
        <w:t xml:space="preserve">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005520BD" w:rsidRPr="005520BD">
        <w:t>uveřejňovací</w:t>
      </w:r>
      <w:proofErr w:type="spellEnd"/>
      <w:r w:rsidR="005520BD" w:rsidRPr="005520BD">
        <w:t xml:space="preserve"> povinnost podle zákona o registru smluv.</w:t>
      </w:r>
    </w:p>
    <w:p w:rsidR="001E712E" w:rsidRPr="00A05A24" w:rsidRDefault="001C2D26" w:rsidP="001C2D26">
      <w:pPr>
        <w:pStyle w:val="cplnekslovan"/>
      </w:pPr>
      <w:r w:rsidRPr="00A05A24">
        <w:t>Závěrečná ustanovení</w:t>
      </w:r>
    </w:p>
    <w:p w:rsidR="001E712E" w:rsidRDefault="001E712E" w:rsidP="001C2D26">
      <w:pPr>
        <w:pStyle w:val="cpodstavecslovan1"/>
      </w:pPr>
      <w:r w:rsidRPr="00B27BC8">
        <w:t xml:space="preserve">Ostatní ujednání </w:t>
      </w:r>
      <w:r w:rsidR="004F7BFA">
        <w:t>Dohody</w:t>
      </w:r>
      <w:r w:rsidRPr="00B27BC8">
        <w:t xml:space="preserve"> se nemění a zůstávají nadále v platnosti.</w:t>
      </w:r>
    </w:p>
    <w:p w:rsidR="001C2D26" w:rsidRPr="00B27BC8" w:rsidRDefault="001E712E" w:rsidP="005520BD">
      <w:pPr>
        <w:pStyle w:val="cpodstavecslovan1"/>
      </w:pPr>
      <w:r w:rsidRPr="00B27BC8">
        <w:t xml:space="preserve">Dodatek č. </w:t>
      </w:r>
      <w:r w:rsidR="005520BD">
        <w:rPr>
          <w:rStyle w:val="P-HEAD-WBULLETSChar"/>
          <w:rFonts w:ascii="Times New Roman" w:hAnsi="Times New Roman"/>
        </w:rPr>
        <w:t xml:space="preserve">6 </w:t>
      </w:r>
      <w:r w:rsidR="005520BD" w:rsidRPr="005520BD">
        <w:t>je uzavřen a účinný dnem jeho podpisu oběma stranami Dohody</w:t>
      </w:r>
      <w:r w:rsidRPr="00B27BC8">
        <w:t>.</w:t>
      </w:r>
    </w:p>
    <w:p w:rsidR="005520BD" w:rsidRPr="00B27BC8" w:rsidRDefault="003E3656" w:rsidP="00E46AC7">
      <w:pPr>
        <w:pStyle w:val="cpodstavecslovan1"/>
      </w:pPr>
      <w:r>
        <w:t xml:space="preserve">Dodatek č. 6 </w:t>
      </w:r>
      <w:r w:rsidR="001E712E" w:rsidRPr="00B27BC8">
        <w:t xml:space="preserve"> je sepsán ve </w:t>
      </w:r>
      <w:r w:rsidR="009F7026">
        <w:t>dvou</w:t>
      </w:r>
      <w:r w:rsidR="001E712E" w:rsidRPr="00B27BC8">
        <w:t xml:space="preserve"> vyhotoveních s platností originálu, z nichž každá ze stran obdrží po dvou výtiscích.</w:t>
      </w: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A12B87">
            <w:pPr>
              <w:pStyle w:val="cpodstavecslovan1"/>
              <w:numPr>
                <w:ilvl w:val="0"/>
                <w:numId w:val="0"/>
              </w:numPr>
            </w:pPr>
            <w:r>
              <w:t xml:space="preserve">V </w:t>
            </w:r>
            <w:r w:rsidR="00A12B87">
              <w:t>Praze</w:t>
            </w:r>
            <w:r>
              <w:t xml:space="preserve"> dne </w:t>
            </w:r>
          </w:p>
        </w:tc>
        <w:tc>
          <w:tcPr>
            <w:tcW w:w="4889" w:type="dxa"/>
          </w:tcPr>
          <w:p w:rsidR="001C2D26" w:rsidRDefault="001C2D26" w:rsidP="00A12B87">
            <w:pPr>
              <w:pStyle w:val="cpodstavecslovan1"/>
              <w:numPr>
                <w:ilvl w:val="0"/>
                <w:numId w:val="0"/>
              </w:numPr>
            </w:pPr>
            <w:r>
              <w:t xml:space="preserve">V </w:t>
            </w:r>
            <w:r w:rsidR="004F7BFA">
              <w:t>Praze</w:t>
            </w:r>
            <w:r>
              <w:t xml:space="preserve"> 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4F7BFA">
            <w:pPr>
              <w:pStyle w:val="cpodstavecslovan1"/>
              <w:numPr>
                <w:ilvl w:val="0"/>
                <w:numId w:val="0"/>
              </w:numPr>
            </w:pPr>
            <w:r w:rsidRPr="001C2D26">
              <w:t xml:space="preserve">za </w:t>
            </w:r>
            <w:r w:rsidR="004F7BFA">
              <w:t>Uživatele:</w:t>
            </w: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0A11A9" w:rsidP="001C2D26">
            <w:pPr>
              <w:pStyle w:val="cpodstavecslovan1"/>
              <w:numPr>
                <w:ilvl w:val="0"/>
                <w:numId w:val="0"/>
              </w:numPr>
              <w:jc w:val="center"/>
            </w:pPr>
            <w:r>
              <w:t>Štěpán Čekal</w:t>
            </w:r>
          </w:p>
          <w:p w:rsidR="001C2D26" w:rsidRDefault="000A11A9" w:rsidP="001C2D26">
            <w:pPr>
              <w:pStyle w:val="cpodstavecslovan1"/>
              <w:numPr>
                <w:ilvl w:val="0"/>
                <w:numId w:val="0"/>
              </w:numPr>
              <w:jc w:val="center"/>
            </w:pPr>
            <w:r>
              <w:t>vedoucí odboru VIP obchod</w:t>
            </w:r>
          </w:p>
          <w:p w:rsidR="002D64BF" w:rsidRDefault="002D64BF" w:rsidP="001C2D26">
            <w:pPr>
              <w:pStyle w:val="cpodstavecslovan1"/>
              <w:numPr>
                <w:ilvl w:val="0"/>
                <w:numId w:val="0"/>
              </w:numPr>
              <w:jc w:val="center"/>
            </w:pPr>
          </w:p>
          <w:p w:rsidR="002D64BF" w:rsidRDefault="002D64BF" w:rsidP="001C2D26">
            <w:pPr>
              <w:pStyle w:val="cpodstavecslovan1"/>
              <w:numPr>
                <w:ilvl w:val="0"/>
                <w:numId w:val="0"/>
              </w:numPr>
              <w:jc w:val="center"/>
            </w:pPr>
          </w:p>
          <w:p w:rsidR="002D64BF" w:rsidRDefault="002D64BF" w:rsidP="001C2D26">
            <w:pPr>
              <w:pStyle w:val="cpodstavecslovan1"/>
              <w:numPr>
                <w:ilvl w:val="0"/>
                <w:numId w:val="0"/>
              </w:numPr>
              <w:jc w:val="center"/>
            </w:pPr>
          </w:p>
          <w:p w:rsidR="002D64BF" w:rsidRPr="001F0D53" w:rsidRDefault="00427017" w:rsidP="001F0D53">
            <w:pPr>
              <w:pStyle w:val="cpodstavecslovan1"/>
              <w:numPr>
                <w:ilvl w:val="0"/>
                <w:numId w:val="0"/>
              </w:numPr>
              <w:rPr>
                <w:sz w:val="20"/>
                <w:szCs w:val="20"/>
              </w:rPr>
            </w:pPr>
            <w:r>
              <w:rPr>
                <w:sz w:val="20"/>
                <w:szCs w:val="20"/>
              </w:rPr>
              <w:t>x</w:t>
            </w:r>
            <w:bookmarkStart w:id="0" w:name="_GoBack"/>
            <w:bookmarkEnd w:id="0"/>
          </w:p>
        </w:tc>
        <w:tc>
          <w:tcPr>
            <w:tcW w:w="4889" w:type="dxa"/>
          </w:tcPr>
          <w:p w:rsidR="00E46AC7" w:rsidRDefault="00427017" w:rsidP="001C2D26">
            <w:pPr>
              <w:pStyle w:val="cpodstavecslovan1"/>
              <w:numPr>
                <w:ilvl w:val="0"/>
                <w:numId w:val="0"/>
              </w:numPr>
              <w:jc w:val="center"/>
            </w:pPr>
            <w:r>
              <w:t>x</w:t>
            </w:r>
          </w:p>
          <w:p w:rsidR="00E46AC7" w:rsidRDefault="00E46AC7" w:rsidP="00E46AC7">
            <w:pPr>
              <w:pStyle w:val="cpodstavecslovan1"/>
              <w:numPr>
                <w:ilvl w:val="0"/>
                <w:numId w:val="0"/>
              </w:numPr>
            </w:pPr>
          </w:p>
          <w:tbl>
            <w:tblPr>
              <w:tblpPr w:leftFromText="141" w:rightFromText="141" w:vertAnchor="text" w:horzAnchor="margin" w:tblpXSpec="right" w:tblpY="98"/>
              <w:tblW w:w="0" w:type="auto"/>
              <w:tblLook w:val="00A0" w:firstRow="1" w:lastRow="0" w:firstColumn="1" w:lastColumn="0" w:noHBand="0" w:noVBand="0"/>
            </w:tblPr>
            <w:tblGrid>
              <w:gridCol w:w="4673"/>
            </w:tblGrid>
            <w:tr w:rsidR="00E46AC7" w:rsidTr="00F27885">
              <w:trPr>
                <w:trHeight w:val="583"/>
              </w:trPr>
              <w:tc>
                <w:tcPr>
                  <w:tcW w:w="4889" w:type="dxa"/>
                </w:tcPr>
                <w:p w:rsidR="00E46AC7" w:rsidRDefault="00E46AC7" w:rsidP="00E46AC7">
                  <w:pPr>
                    <w:pStyle w:val="cpodstavecslovan1"/>
                    <w:numPr>
                      <w:ilvl w:val="0"/>
                      <w:numId w:val="0"/>
                    </w:numPr>
                    <w:pBdr>
                      <w:bottom w:val="single" w:sz="6" w:space="1" w:color="auto"/>
                    </w:pBdr>
                  </w:pPr>
                </w:p>
                <w:p w:rsidR="00E46AC7" w:rsidRDefault="00E46AC7" w:rsidP="00E46AC7">
                  <w:pPr>
                    <w:pStyle w:val="cpodstavecslovan1"/>
                    <w:numPr>
                      <w:ilvl w:val="0"/>
                      <w:numId w:val="0"/>
                    </w:numPr>
                  </w:pPr>
                </w:p>
              </w:tc>
            </w:tr>
            <w:tr w:rsidR="00E46AC7" w:rsidTr="00F27885">
              <w:tc>
                <w:tcPr>
                  <w:tcW w:w="4889" w:type="dxa"/>
                </w:tcPr>
                <w:p w:rsidR="00E46AC7" w:rsidRPr="00307C04" w:rsidRDefault="00E46AC7" w:rsidP="00427017">
                  <w:pPr>
                    <w:pStyle w:val="cpodstavecslovan1"/>
                    <w:numPr>
                      <w:ilvl w:val="0"/>
                      <w:numId w:val="0"/>
                    </w:numPr>
                    <w:ind w:left="624"/>
                  </w:pPr>
                  <w:r>
                    <w:t xml:space="preserve">               </w:t>
                  </w:r>
                  <w:r w:rsidR="00427017">
                    <w:t>x</w:t>
                  </w:r>
                </w:p>
                <w:p w:rsidR="00E46AC7" w:rsidRPr="00307C04" w:rsidRDefault="00E46AC7" w:rsidP="00E46AC7">
                  <w:pPr>
                    <w:pStyle w:val="cpodstavecslovan1"/>
                    <w:numPr>
                      <w:ilvl w:val="0"/>
                      <w:numId w:val="0"/>
                    </w:numPr>
                    <w:ind w:left="624"/>
                  </w:pPr>
                </w:p>
                <w:p w:rsidR="00E46AC7" w:rsidRDefault="00E46AC7" w:rsidP="00E46AC7">
                  <w:pPr>
                    <w:pStyle w:val="cpodstavecslovan1"/>
                    <w:numPr>
                      <w:ilvl w:val="0"/>
                      <w:numId w:val="0"/>
                    </w:numPr>
                    <w:jc w:val="center"/>
                  </w:pPr>
                </w:p>
              </w:tc>
            </w:tr>
          </w:tbl>
          <w:p w:rsidR="001C2D26" w:rsidRDefault="00E46AC7" w:rsidP="001C2D26">
            <w:pPr>
              <w:pStyle w:val="cpodstavecslovan1"/>
              <w:numPr>
                <w:ilvl w:val="0"/>
                <w:numId w:val="0"/>
              </w:numPr>
              <w:jc w:val="center"/>
            </w:pPr>
            <w:r w:rsidRPr="00E46AC7">
              <w:t xml:space="preserve">                                                                                           </w:t>
            </w:r>
          </w:p>
        </w:tc>
      </w:tr>
    </w:tbl>
    <w:p w:rsidR="00912589" w:rsidRDefault="00912589" w:rsidP="00EA5403">
      <w:pPr>
        <w:spacing w:after="0" w:line="240" w:lineRule="auto"/>
        <w:rPr>
          <w:sz w:val="18"/>
          <w:szCs w:val="18"/>
        </w:rPr>
      </w:pPr>
    </w:p>
    <w:p w:rsidR="00912589" w:rsidRDefault="00912589" w:rsidP="000A11A9">
      <w:pPr>
        <w:spacing w:after="0" w:line="240" w:lineRule="auto"/>
        <w:ind w:left="641"/>
        <w:jc w:val="center"/>
        <w:rPr>
          <w:sz w:val="18"/>
          <w:szCs w:val="18"/>
        </w:rPr>
      </w:pPr>
    </w:p>
    <w:p w:rsidR="000A11A9" w:rsidRPr="0042280F" w:rsidRDefault="000A11A9" w:rsidP="000A11A9">
      <w:pPr>
        <w:spacing w:after="0" w:line="240" w:lineRule="auto"/>
        <w:ind w:left="641"/>
        <w:jc w:val="center"/>
        <w:rPr>
          <w:sz w:val="18"/>
          <w:szCs w:val="18"/>
        </w:rPr>
      </w:pPr>
      <w:r w:rsidRPr="0042280F">
        <w:rPr>
          <w:sz w:val="18"/>
          <w:szCs w:val="18"/>
        </w:rPr>
        <w:t>Za formální správnost a dodržení všech interních postupů a pravidel ČP:</w:t>
      </w:r>
    </w:p>
    <w:p w:rsidR="000A11A9" w:rsidRPr="00E46AC7" w:rsidRDefault="00427017" w:rsidP="00E46AC7">
      <w:pPr>
        <w:pStyle w:val="Zpat"/>
        <w:ind w:left="641"/>
        <w:jc w:val="center"/>
        <w:rPr>
          <w:sz w:val="18"/>
          <w:szCs w:val="18"/>
        </w:rPr>
      </w:pPr>
      <w:r>
        <w:rPr>
          <w:sz w:val="18"/>
          <w:szCs w:val="18"/>
        </w:rPr>
        <w:t>x</w:t>
      </w:r>
    </w:p>
    <w:sectPr w:rsidR="000A11A9" w:rsidRPr="00E46AC7"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2" w:rsidRDefault="001F41B2" w:rsidP="00BB2C84">
      <w:pPr>
        <w:spacing w:after="0" w:line="240" w:lineRule="auto"/>
      </w:pPr>
      <w:r>
        <w:separator/>
      </w:r>
    </w:p>
  </w:endnote>
  <w:endnote w:type="continuationSeparator" w:id="0">
    <w:p w:rsidR="001F41B2" w:rsidRDefault="001F41B2"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427017">
      <w:rPr>
        <w:noProof/>
        <w:sz w:val="18"/>
        <w:szCs w:val="18"/>
      </w:rPr>
      <w:t>3</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427017">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2" w:rsidRDefault="001F41B2" w:rsidP="00BB2C84">
      <w:pPr>
        <w:spacing w:after="0" w:line="240" w:lineRule="auto"/>
      </w:pPr>
      <w:r>
        <w:separator/>
      </w:r>
    </w:p>
  </w:footnote>
  <w:footnote w:type="continuationSeparator" w:id="0">
    <w:p w:rsidR="001F41B2" w:rsidRDefault="001F41B2"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75F79764" wp14:editId="3677DC1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1C2D26" w:rsidRDefault="00337F3E" w:rsidP="004F7BFA">
    <w:pPr>
      <w:pStyle w:val="Zhlav"/>
      <w:spacing w:before="100"/>
      <w:ind w:left="1701"/>
      <w:rPr>
        <w:rFonts w:ascii="Arial" w:hAnsi="Arial" w:cs="Arial"/>
        <w:noProof/>
        <w:lang w:eastAsia="cs-CZ"/>
      </w:rPr>
    </w:pPr>
    <w:r>
      <w:rPr>
        <w:rFonts w:ascii="Arial" w:hAnsi="Arial" w:cs="Arial"/>
        <w:noProof/>
        <w:lang w:eastAsia="cs-CZ"/>
      </w:rPr>
      <w:t>Dodatek č. 6</w:t>
    </w:r>
    <w:r w:rsidR="004F7BFA">
      <w:rPr>
        <w:rFonts w:ascii="Arial" w:hAnsi="Arial" w:cs="Arial"/>
        <w:noProof/>
        <w:lang w:eastAsia="cs-CZ"/>
      </w:rPr>
      <w:t xml:space="preserve">  k </w:t>
    </w:r>
    <w:r w:rsidR="004F7BFA" w:rsidRPr="004F7BFA">
      <w:rPr>
        <w:rFonts w:ascii="Arial" w:hAnsi="Arial" w:cs="Arial"/>
        <w:noProof/>
        <w:lang w:eastAsia="cs-CZ"/>
      </w:rPr>
      <w:t xml:space="preserve">Dohoda o používání výplatních strojů k úhradě cen za poštovní služby </w:t>
    </w:r>
    <w:r>
      <w:rPr>
        <w:rFonts w:ascii="Arial" w:hAnsi="Arial" w:cs="Arial"/>
        <w:noProof/>
        <w:lang w:eastAsia="cs-CZ"/>
      </w:rPr>
      <w:t>číslo  2011/0658</w:t>
    </w:r>
    <w:r w:rsidR="001C2D26">
      <w:rPr>
        <w:noProof/>
        <w:lang w:eastAsia="cs-CZ"/>
      </w:rPr>
      <w:drawing>
        <wp:anchor distT="0" distB="0" distL="114300" distR="114300" simplePos="0" relativeHeight="251657728" behindDoc="1" locked="0" layoutInCell="1" allowOverlap="1" wp14:anchorId="2F43A631" wp14:editId="514B69FC">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D3227B">
      <w:rPr>
        <w:rFonts w:ascii="Arial" w:hAnsi="Arial" w:cs="Arial"/>
        <w:noProof/>
        <w:lang w:eastAsia="cs-CZ"/>
      </w:rPr>
      <w:t>, ev.č.4500150181-00-06</w:t>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13644F35" wp14:editId="0A3F5DF4">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2"/>
  </w:num>
  <w:num w:numId="3">
    <w:abstractNumId w:val="3"/>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6"/>
  </w:num>
  <w:num w:numId="12">
    <w:abstractNumId w:val="6"/>
  </w:num>
  <w:num w:numId="13">
    <w:abstractNumId w:val="6"/>
  </w:num>
  <w:num w:numId="14">
    <w:abstractNumId w:val="6"/>
  </w:num>
  <w:num w:numId="15">
    <w:abstractNumId w:val="2"/>
  </w:num>
  <w:num w:numId="16">
    <w:abstractNumId w:val="2"/>
  </w:num>
  <w:num w:numId="17">
    <w:abstractNumId w:val="2"/>
  </w:num>
  <w:num w:numId="18">
    <w:abstractNumId w:val="2"/>
  </w:num>
  <w:num w:numId="19">
    <w:abstractNumId w:val="4"/>
  </w:num>
  <w:num w:numId="20">
    <w:abstractNumId w:val="7"/>
  </w:num>
  <w:num w:numId="21">
    <w:abstractNumId w:val="3"/>
  </w:num>
  <w:num w:numId="22">
    <w:abstractNumId w:val="6"/>
  </w:num>
  <w:num w:numId="23">
    <w:abstractNumId w:val="1"/>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0"/>
  </w:num>
  <w:num w:numId="34">
    <w:abstractNumId w:val="6"/>
    <w:lvlOverride w:ilvl="0">
      <w:startOverride w:val="2"/>
    </w:lvlOverride>
    <w:lvlOverride w:ilvl="1">
      <w:startOverride w:val="8"/>
    </w:lvlOverride>
  </w:num>
  <w:num w:numId="35">
    <w:abstractNumId w:val="6"/>
    <w:lvlOverride w:ilvl="0">
      <w:startOverride w:val="2"/>
    </w:lvlOverride>
    <w:lvlOverride w:ilvl="1">
      <w:startOverride w:val="8"/>
    </w:lvlOverride>
  </w:num>
  <w:num w:numId="36">
    <w:abstractNumId w:val="6"/>
    <w:lvlOverride w:ilvl="0">
      <w:startOverride w:val="2"/>
    </w:lvlOverride>
    <w:lvlOverride w:ilvl="1">
      <w:startOverride w:val="8"/>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54997"/>
    <w:rsid w:val="000A11A9"/>
    <w:rsid w:val="000C0B03"/>
    <w:rsid w:val="000C6A07"/>
    <w:rsid w:val="000E2816"/>
    <w:rsid w:val="000E5CD1"/>
    <w:rsid w:val="0010129E"/>
    <w:rsid w:val="001454AA"/>
    <w:rsid w:val="00150F80"/>
    <w:rsid w:val="00160A6D"/>
    <w:rsid w:val="00160BAE"/>
    <w:rsid w:val="00162252"/>
    <w:rsid w:val="001B2F33"/>
    <w:rsid w:val="001B74B1"/>
    <w:rsid w:val="001C2D26"/>
    <w:rsid w:val="001E712E"/>
    <w:rsid w:val="001F0D53"/>
    <w:rsid w:val="001F41B2"/>
    <w:rsid w:val="001F46E3"/>
    <w:rsid w:val="002235CC"/>
    <w:rsid w:val="00232CBE"/>
    <w:rsid w:val="00266CC4"/>
    <w:rsid w:val="002A5F6B"/>
    <w:rsid w:val="002D64BF"/>
    <w:rsid w:val="00305E45"/>
    <w:rsid w:val="003317F4"/>
    <w:rsid w:val="00337F3E"/>
    <w:rsid w:val="00355FFC"/>
    <w:rsid w:val="00367F2B"/>
    <w:rsid w:val="00395BA6"/>
    <w:rsid w:val="003A518E"/>
    <w:rsid w:val="003C03B2"/>
    <w:rsid w:val="003C5BF8"/>
    <w:rsid w:val="003D3E09"/>
    <w:rsid w:val="003E0CD8"/>
    <w:rsid w:val="003E0E92"/>
    <w:rsid w:val="003E2C93"/>
    <w:rsid w:val="003E3656"/>
    <w:rsid w:val="003E78DD"/>
    <w:rsid w:val="00407DEC"/>
    <w:rsid w:val="0041214A"/>
    <w:rsid w:val="00427017"/>
    <w:rsid w:val="00440434"/>
    <w:rsid w:val="004433EA"/>
    <w:rsid w:val="00445C58"/>
    <w:rsid w:val="0045706B"/>
    <w:rsid w:val="00460E56"/>
    <w:rsid w:val="004A5077"/>
    <w:rsid w:val="004B45C1"/>
    <w:rsid w:val="004D1488"/>
    <w:rsid w:val="004F00FD"/>
    <w:rsid w:val="004F4681"/>
    <w:rsid w:val="004F7BFA"/>
    <w:rsid w:val="00531FDC"/>
    <w:rsid w:val="005520BD"/>
    <w:rsid w:val="00555D26"/>
    <w:rsid w:val="005746B6"/>
    <w:rsid w:val="00596717"/>
    <w:rsid w:val="005A41F7"/>
    <w:rsid w:val="005A5625"/>
    <w:rsid w:val="005D23D8"/>
    <w:rsid w:val="005D325A"/>
    <w:rsid w:val="005E26F5"/>
    <w:rsid w:val="005F73E1"/>
    <w:rsid w:val="00602989"/>
    <w:rsid w:val="00612237"/>
    <w:rsid w:val="00626636"/>
    <w:rsid w:val="00675251"/>
    <w:rsid w:val="006B13BF"/>
    <w:rsid w:val="006C2ADC"/>
    <w:rsid w:val="006C67D1"/>
    <w:rsid w:val="006E328F"/>
    <w:rsid w:val="006E6CDC"/>
    <w:rsid w:val="006E7F15"/>
    <w:rsid w:val="00700EF7"/>
    <w:rsid w:val="00705DEA"/>
    <w:rsid w:val="00731911"/>
    <w:rsid w:val="0073595F"/>
    <w:rsid w:val="00741D12"/>
    <w:rsid w:val="00786E3F"/>
    <w:rsid w:val="007A0E45"/>
    <w:rsid w:val="007C378A"/>
    <w:rsid w:val="007D2C36"/>
    <w:rsid w:val="007E36E6"/>
    <w:rsid w:val="0083417B"/>
    <w:rsid w:val="00834B01"/>
    <w:rsid w:val="00857729"/>
    <w:rsid w:val="008610AA"/>
    <w:rsid w:val="008A07A1"/>
    <w:rsid w:val="008A08ED"/>
    <w:rsid w:val="008A4ACF"/>
    <w:rsid w:val="008E00D3"/>
    <w:rsid w:val="00912589"/>
    <w:rsid w:val="00937296"/>
    <w:rsid w:val="0095032E"/>
    <w:rsid w:val="009752AE"/>
    <w:rsid w:val="009815FF"/>
    <w:rsid w:val="0098168D"/>
    <w:rsid w:val="00993718"/>
    <w:rsid w:val="009D2E04"/>
    <w:rsid w:val="009D2F45"/>
    <w:rsid w:val="009E3EF0"/>
    <w:rsid w:val="009F7026"/>
    <w:rsid w:val="00A05A24"/>
    <w:rsid w:val="00A12B87"/>
    <w:rsid w:val="00A16D3E"/>
    <w:rsid w:val="00A3091F"/>
    <w:rsid w:val="00A40F40"/>
    <w:rsid w:val="00A47954"/>
    <w:rsid w:val="00A50C0B"/>
    <w:rsid w:val="00A56E01"/>
    <w:rsid w:val="00A773CA"/>
    <w:rsid w:val="00A77E95"/>
    <w:rsid w:val="00A8293F"/>
    <w:rsid w:val="00A96A52"/>
    <w:rsid w:val="00AA0618"/>
    <w:rsid w:val="00AA50CF"/>
    <w:rsid w:val="00AB284E"/>
    <w:rsid w:val="00AC7641"/>
    <w:rsid w:val="00AE269E"/>
    <w:rsid w:val="00AE693B"/>
    <w:rsid w:val="00B0168C"/>
    <w:rsid w:val="00B27BC8"/>
    <w:rsid w:val="00B313CF"/>
    <w:rsid w:val="00B555D4"/>
    <w:rsid w:val="00B65A13"/>
    <w:rsid w:val="00B66D64"/>
    <w:rsid w:val="00B75D17"/>
    <w:rsid w:val="00BB2C84"/>
    <w:rsid w:val="00BD5E9D"/>
    <w:rsid w:val="00C01DCC"/>
    <w:rsid w:val="00C1192F"/>
    <w:rsid w:val="00C24742"/>
    <w:rsid w:val="00C342D1"/>
    <w:rsid w:val="00C41149"/>
    <w:rsid w:val="00C86954"/>
    <w:rsid w:val="00CB1E2D"/>
    <w:rsid w:val="00CC416D"/>
    <w:rsid w:val="00D11957"/>
    <w:rsid w:val="00D139C7"/>
    <w:rsid w:val="00D26E9C"/>
    <w:rsid w:val="00D3227B"/>
    <w:rsid w:val="00D33AD6"/>
    <w:rsid w:val="00D37F53"/>
    <w:rsid w:val="00D837F0"/>
    <w:rsid w:val="00D856C6"/>
    <w:rsid w:val="00DA1A16"/>
    <w:rsid w:val="00DA2C01"/>
    <w:rsid w:val="00E109A3"/>
    <w:rsid w:val="00E13657"/>
    <w:rsid w:val="00E17391"/>
    <w:rsid w:val="00E25713"/>
    <w:rsid w:val="00E46AC7"/>
    <w:rsid w:val="00E5459E"/>
    <w:rsid w:val="00E6080F"/>
    <w:rsid w:val="00E608B8"/>
    <w:rsid w:val="00E655DD"/>
    <w:rsid w:val="00E75510"/>
    <w:rsid w:val="00EA5403"/>
    <w:rsid w:val="00EC1BFE"/>
    <w:rsid w:val="00ED7D05"/>
    <w:rsid w:val="00F15FA1"/>
    <w:rsid w:val="00F44F2F"/>
    <w:rsid w:val="00F47DFA"/>
    <w:rsid w:val="00F50512"/>
    <w:rsid w:val="00F5065B"/>
    <w:rsid w:val="00F61D1B"/>
    <w:rsid w:val="00F8458D"/>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39</TotalTime>
  <Pages>3</Pages>
  <Words>982</Words>
  <Characters>5795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Chalašová Monika Ing.</cp:lastModifiedBy>
  <cp:revision>23</cp:revision>
  <cp:lastPrinted>2018-06-22T11:38:00Z</cp:lastPrinted>
  <dcterms:created xsi:type="dcterms:W3CDTF">2018-02-24T14:17:00Z</dcterms:created>
  <dcterms:modified xsi:type="dcterms:W3CDTF">2018-07-18T12:36:00Z</dcterms:modified>
</cp:coreProperties>
</file>