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C473C4" w:rsidRPr="00CC056E">
        <w:rPr>
          <w:rFonts w:ascii="Calibri" w:hAnsi="Calibri"/>
          <w:noProof/>
          <w:szCs w:val="22"/>
        </w:rPr>
        <w:t>DS2018/2874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045212">
        <w:rPr>
          <w:rFonts w:ascii="Calibri" w:hAnsi="Calibri"/>
          <w:b/>
          <w:bCs/>
        </w:rPr>
        <w:t xml:space="preserve"> </w:t>
      </w:r>
      <w:bookmarkStart w:id="0" w:name="_GoBack"/>
      <w:bookmarkEnd w:id="0"/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C473C4" w:rsidRPr="00CC056E">
              <w:rPr>
                <w:rFonts w:ascii="Calibri" w:hAnsi="Calibri"/>
                <w:noProof/>
              </w:rPr>
              <w:t>35-0345630227/0100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C473C4" w:rsidRPr="00CC056E">
        <w:rPr>
          <w:rFonts w:ascii="Calibri" w:hAnsi="Calibri"/>
          <w:b/>
          <w:bCs/>
          <w:noProof/>
        </w:rPr>
        <w:t>Obec Stará Paka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75064D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C473C4" w:rsidRPr="00CC056E">
              <w:rPr>
                <w:rFonts w:ascii="Calibri" w:hAnsi="Calibri"/>
                <w:noProof/>
              </w:rPr>
              <w:t>Revoluční 180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C473C4" w:rsidRPr="00CC056E">
              <w:rPr>
                <w:rFonts w:ascii="Calibri" w:hAnsi="Calibri"/>
                <w:noProof/>
              </w:rPr>
              <w:t>507 91 Stará Paka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7506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C473C4" w:rsidRPr="00CC056E">
              <w:rPr>
                <w:rFonts w:ascii="Calibri" w:hAnsi="Calibri"/>
                <w:noProof/>
              </w:rPr>
              <w:t>Josef Dlabola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75064D">
              <w:rPr>
                <w:rFonts w:ascii="Calibri" w:hAnsi="Calibri"/>
              </w:rPr>
              <w:fldChar w:fldCharType="begin"/>
            </w:r>
            <w:r w:rsidR="0075064D">
              <w:rPr>
                <w:rFonts w:ascii="Calibri" w:hAnsi="Calibri"/>
              </w:rPr>
              <w:instrText xml:space="preserve"> MERGEFIELD funkce </w:instrText>
            </w:r>
            <w:r w:rsidR="0075064D">
              <w:rPr>
                <w:rFonts w:ascii="Calibri" w:hAnsi="Calibri"/>
              </w:rPr>
              <w:fldChar w:fldCharType="separate"/>
            </w:r>
            <w:r w:rsidR="00C473C4" w:rsidRPr="00CC056E">
              <w:rPr>
                <w:rFonts w:ascii="Calibri" w:hAnsi="Calibri"/>
                <w:noProof/>
              </w:rPr>
              <w:t>starosta obce</w:t>
            </w:r>
            <w:r w:rsidR="0075064D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C473C4" w:rsidRPr="00CC056E">
              <w:rPr>
                <w:rFonts w:ascii="Calibri" w:hAnsi="Calibri"/>
                <w:noProof/>
              </w:rPr>
              <w:t>00272132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018DC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018DC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018D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DIČ </w:instrText>
            </w:r>
            <w:r>
              <w:rPr>
                <w:rFonts w:ascii="Calibri" w:hAnsi="Calibri"/>
              </w:rPr>
              <w:fldChar w:fldCharType="separate"/>
            </w:r>
            <w:r w:rsidR="00C473C4" w:rsidRPr="00CC056E">
              <w:rPr>
                <w:rFonts w:ascii="Calibri" w:hAnsi="Calibri"/>
                <w:noProof/>
              </w:rPr>
              <w:t>CZ00272132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C473C4" w:rsidRPr="00CC056E">
              <w:rPr>
                <w:rFonts w:ascii="Calibri" w:hAnsi="Calibri"/>
                <w:noProof/>
              </w:rPr>
              <w:t>Česká spořitelna, a.s.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C473C4" w:rsidRPr="00CC056E">
              <w:rPr>
                <w:rFonts w:ascii="Calibri" w:hAnsi="Calibri"/>
                <w:noProof/>
              </w:rPr>
              <w:t>1160437329 / 0800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</w:t>
      </w:r>
      <w:r w:rsidR="00D34742">
        <w:rPr>
          <w:rFonts w:ascii="Calibri" w:hAnsi="Calibri"/>
          <w:szCs w:val="22"/>
        </w:rPr>
        <w:t>zpracování projektové dokumentace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C473C4" w:rsidRPr="00CC056E">
        <w:rPr>
          <w:rFonts w:ascii="Calibri" w:hAnsi="Calibri"/>
          <w:b/>
          <w:noProof/>
          <w:szCs w:val="22"/>
        </w:rPr>
        <w:t>Splašková kanalizace v ul. Revoluční - Stará Paka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C473C4" w:rsidRPr="00CC056E">
        <w:rPr>
          <w:rFonts w:ascii="Calibri" w:hAnsi="Calibri"/>
          <w:noProof/>
          <w:szCs w:val="22"/>
        </w:rPr>
        <w:t>23. 3. 2018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C473C4" w:rsidRPr="00CC056E">
        <w:rPr>
          <w:rFonts w:ascii="Calibri" w:hAnsi="Calibri"/>
          <w:noProof/>
          <w:szCs w:val="22"/>
        </w:rPr>
        <w:t>11931/ZP/2018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C473C4" w:rsidRPr="00CC056E">
        <w:rPr>
          <w:rFonts w:ascii="Calibri" w:hAnsi="Calibri"/>
          <w:b/>
          <w:noProof/>
          <w:szCs w:val="22"/>
        </w:rPr>
        <w:t>92000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C473C4" w:rsidRPr="00CC056E">
        <w:rPr>
          <w:rFonts w:ascii="Calibri" w:hAnsi="Calibri"/>
          <w:noProof/>
          <w:szCs w:val="22"/>
        </w:rPr>
        <w:t>devadesát dva tisíce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34742">
        <w:rPr>
          <w:rFonts w:ascii="Calibri" w:hAnsi="Calibri"/>
          <w:b/>
          <w:szCs w:val="22"/>
        </w:rPr>
        <w:fldChar w:fldCharType="begin"/>
      </w:r>
      <w:r w:rsidR="00D34742">
        <w:rPr>
          <w:rFonts w:ascii="Calibri" w:hAnsi="Calibri"/>
          <w:b/>
          <w:szCs w:val="22"/>
        </w:rPr>
        <w:instrText xml:space="preserve"> MERGEFIELD Výdaje_projektu_celkem </w:instrText>
      </w:r>
      <w:r w:rsidR="00D34742">
        <w:rPr>
          <w:rFonts w:ascii="Calibri" w:hAnsi="Calibri"/>
          <w:b/>
          <w:szCs w:val="22"/>
        </w:rPr>
        <w:fldChar w:fldCharType="separate"/>
      </w:r>
      <w:r w:rsidR="00C473C4" w:rsidRPr="00CC056E">
        <w:rPr>
          <w:rFonts w:ascii="Calibri" w:hAnsi="Calibri"/>
          <w:b/>
          <w:noProof/>
          <w:szCs w:val="22"/>
        </w:rPr>
        <w:t>116000</w:t>
      </w:r>
      <w:r w:rsidR="00D34742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C473C4" w:rsidRPr="00CC056E">
        <w:rPr>
          <w:rFonts w:ascii="Calibri" w:hAnsi="Calibri"/>
          <w:b/>
          <w:noProof/>
          <w:szCs w:val="22"/>
        </w:rPr>
        <w:t>1. 5. 2018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C473C4" w:rsidRPr="00CC056E">
        <w:rPr>
          <w:rFonts w:ascii="Calibri" w:hAnsi="Calibri"/>
          <w:b/>
          <w:noProof/>
          <w:szCs w:val="22"/>
        </w:rPr>
        <w:t>31. 3. 2019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170B0C" w:rsidRPr="00C67D98">
        <w:rPr>
          <w:rFonts w:ascii="Calibri" w:hAnsi="Calibri"/>
          <w:szCs w:val="22"/>
        </w:rPr>
        <w:t xml:space="preserve">Ukončení projektu </w:t>
      </w:r>
      <w:r w:rsidR="00170B0C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</w:t>
      </w:r>
      <w:r w:rsidRPr="00566950">
        <w:rPr>
          <w:rFonts w:ascii="Calibri" w:hAnsi="Calibri"/>
          <w:szCs w:val="22"/>
        </w:rPr>
        <w:lastRenderedPageBreak/>
        <w:t>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170B0C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C473C4" w:rsidRPr="00CC056E">
        <w:rPr>
          <w:rFonts w:ascii="Calibri" w:hAnsi="Calibri"/>
          <w:iCs/>
          <w:noProof/>
          <w:szCs w:val="22"/>
        </w:rPr>
        <w:t>13.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C473C4" w:rsidRPr="00CC056E">
        <w:rPr>
          <w:rFonts w:ascii="Calibri" w:hAnsi="Calibri"/>
          <w:iCs/>
          <w:noProof/>
          <w:szCs w:val="22"/>
        </w:rPr>
        <w:t>21. 5. 2018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C473C4" w:rsidRPr="00CC056E">
        <w:rPr>
          <w:rFonts w:ascii="Calibri" w:hAnsi="Calibri"/>
          <w:noProof/>
          <w:szCs w:val="22"/>
        </w:rPr>
        <w:t>ZK/13/959/2018</w:t>
      </w:r>
      <w:r w:rsidR="00B55245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Pr="00065F7B" w:rsidRDefault="00123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123394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C473C4" w:rsidRPr="00CC056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Josef Dlabola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123394" w:rsidRPr="006326E8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C473C4" w:rsidRPr="00CC056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C473C4" w:rsidRPr="00CC056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Stará Paka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Pr="00065F7B" w:rsidRDefault="00123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123394" w:rsidRDefault="00123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C473C4" w:rsidRPr="00CC056E">
                        <w:rPr>
                          <w:rFonts w:ascii="Calibri" w:hAnsi="Calibri"/>
                          <w:noProof/>
                          <w:szCs w:val="22"/>
                        </w:rPr>
                        <w:t>Josef Dlabola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123394" w:rsidRPr="006326E8" w:rsidRDefault="00123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C473C4" w:rsidRPr="00CC056E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C473C4" w:rsidRPr="00CC056E">
                        <w:rPr>
                          <w:rFonts w:ascii="Calibri" w:hAnsi="Calibri"/>
                          <w:noProof/>
                          <w:szCs w:val="22"/>
                        </w:rPr>
                        <w:t>Stará Paka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123394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123394" w:rsidRPr="004F6A4F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123394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123394" w:rsidRPr="004F6A4F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4" w:rsidRDefault="00123394">
      <w:r>
        <w:separator/>
      </w:r>
    </w:p>
  </w:endnote>
  <w:endnote w:type="continuationSeparator" w:id="0">
    <w:p w:rsidR="00123394" w:rsidRDefault="0012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394" w:rsidRDefault="00123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Pr="001B279F" w:rsidRDefault="00123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45212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45212">
                              <w:rPr>
                                <w:rFonts w:ascii="Calibri" w:hAnsi="Calibri"/>
                                <w:noProof/>
                              </w:rPr>
                              <w:t>4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23394" w:rsidRDefault="00123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045212" w:rsidRPr="00045212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23394" w:rsidRPr="001B279F" w:rsidRDefault="00123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045212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045212">
                        <w:rPr>
                          <w:rFonts w:ascii="Calibri" w:hAnsi="Calibri"/>
                          <w:noProof/>
                        </w:rPr>
                        <w:t>4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123394" w:rsidRDefault="00123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045212" w:rsidRPr="00045212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4" w:rsidRDefault="00123394">
      <w:r>
        <w:separator/>
      </w:r>
    </w:p>
  </w:footnote>
  <w:footnote w:type="continuationSeparator" w:id="0">
    <w:p w:rsidR="00123394" w:rsidRDefault="0012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69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4044C"/>
    <w:rsid w:val="00040AFD"/>
    <w:rsid w:val="00044910"/>
    <w:rsid w:val="00044FE4"/>
    <w:rsid w:val="00045212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532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3394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0B0C"/>
    <w:rsid w:val="00172FDD"/>
    <w:rsid w:val="00173199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A70D5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B9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2F24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064D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250D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55E4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473C4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74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346C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23F8B-5996-4C58-ABC9-6BE1B41C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3933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27086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3</cp:revision>
  <cp:lastPrinted>2017-08-23T06:10:00Z</cp:lastPrinted>
  <dcterms:created xsi:type="dcterms:W3CDTF">2018-05-28T11:20:00Z</dcterms:created>
  <dcterms:modified xsi:type="dcterms:W3CDTF">2018-05-28T12:08:00Z</dcterms:modified>
</cp:coreProperties>
</file>