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F" w:rsidRPr="001007EF" w:rsidRDefault="008F2A64" w:rsidP="008F2A64">
      <w:pPr>
        <w:pStyle w:val="Prohlen"/>
        <w:tabs>
          <w:tab w:val="left" w:pos="2670"/>
          <w:tab w:val="center" w:pos="4535"/>
        </w:tabs>
        <w:spacing w:line="260" w:lineRule="atLeast"/>
        <w:jc w:val="left"/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ab/>
      </w:r>
      <w:r w:rsidR="00C8551F" w:rsidRPr="001007EF">
        <w:rPr>
          <w:rFonts w:ascii="Arial" w:hAnsi="Arial" w:cs="Arial"/>
          <w:bCs/>
          <w:sz w:val="40"/>
          <w:szCs w:val="40"/>
        </w:rPr>
        <w:t>SMLOUVA O DÍLO</w:t>
      </w:r>
    </w:p>
    <w:p w:rsidR="001007EF" w:rsidRPr="001007EF" w:rsidRDefault="001007EF" w:rsidP="00951FEA">
      <w:pPr>
        <w:spacing w:after="0"/>
      </w:pPr>
    </w:p>
    <w:p w:rsidR="00C8551F" w:rsidRDefault="00351E85" w:rsidP="00951FEA">
      <w:pPr>
        <w:pStyle w:val="Prohlen"/>
        <w:spacing w:line="260" w:lineRule="atLeast"/>
        <w:rPr>
          <w:rFonts w:ascii="Arial" w:hAnsi="Arial" w:cs="Arial"/>
          <w:b w:val="0"/>
          <w:bCs/>
          <w:sz w:val="20"/>
        </w:rPr>
      </w:pPr>
      <w:r w:rsidRPr="00951FEA">
        <w:rPr>
          <w:rFonts w:ascii="Arial" w:hAnsi="Arial" w:cs="Arial"/>
          <w:b w:val="0"/>
          <w:bCs/>
          <w:sz w:val="20"/>
        </w:rPr>
        <w:t>na realizaci veřejné zakázky malého rozsahu</w:t>
      </w:r>
    </w:p>
    <w:p w:rsidR="00951FEA" w:rsidRPr="00951FEA" w:rsidRDefault="00951FEA" w:rsidP="00951FEA">
      <w:pPr>
        <w:pStyle w:val="Prohlen"/>
        <w:spacing w:line="260" w:lineRule="atLeast"/>
        <w:rPr>
          <w:rFonts w:ascii="Arial" w:hAnsi="Arial" w:cs="Arial"/>
          <w:b w:val="0"/>
          <w:bCs/>
          <w:sz w:val="20"/>
        </w:rPr>
      </w:pPr>
    </w:p>
    <w:p w:rsidR="003B29C3" w:rsidRPr="00951FEA" w:rsidRDefault="003B29C3" w:rsidP="00951FEA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951FEA">
        <w:rPr>
          <w:rFonts w:ascii="Arial" w:hAnsi="Arial"/>
          <w:b/>
          <w:sz w:val="20"/>
          <w:szCs w:val="20"/>
        </w:rPr>
        <w:t xml:space="preserve">Akční plán udržitelné energetiky a adaptace města </w:t>
      </w:r>
      <w:r w:rsidR="007274C4">
        <w:rPr>
          <w:rFonts w:ascii="Arial" w:hAnsi="Arial"/>
          <w:b/>
          <w:sz w:val="20"/>
          <w:szCs w:val="20"/>
        </w:rPr>
        <w:t>Brna</w:t>
      </w:r>
      <w:r w:rsidRPr="00951FEA">
        <w:rPr>
          <w:rFonts w:ascii="Arial" w:hAnsi="Arial"/>
          <w:b/>
          <w:sz w:val="20"/>
          <w:szCs w:val="20"/>
        </w:rPr>
        <w:t xml:space="preserve"> </w:t>
      </w:r>
    </w:p>
    <w:p w:rsidR="00380AEE" w:rsidRPr="00951FEA" w:rsidRDefault="003B29C3" w:rsidP="00951FEA">
      <w:pPr>
        <w:spacing w:after="0"/>
        <w:jc w:val="center"/>
        <w:rPr>
          <w:rFonts w:ascii="Arial" w:hAnsi="Arial" w:cs="Arial"/>
          <w:sz w:val="20"/>
          <w:szCs w:val="20"/>
          <w:lang w:eastAsia="cs-CZ"/>
        </w:rPr>
      </w:pPr>
      <w:r w:rsidRPr="00951FEA">
        <w:rPr>
          <w:rFonts w:ascii="Arial" w:hAnsi="Arial"/>
          <w:b/>
          <w:sz w:val="20"/>
          <w:szCs w:val="20"/>
        </w:rPr>
        <w:t>na klimatické změny (SECAP) do roku 2030</w:t>
      </w:r>
      <w:r w:rsidR="00D7231C" w:rsidRPr="00951FEA">
        <w:rPr>
          <w:rFonts w:ascii="Arial" w:hAnsi="Arial"/>
          <w:b/>
          <w:sz w:val="20"/>
          <w:szCs w:val="20"/>
        </w:rPr>
        <w:t xml:space="preserve"> – oblast doprav</w:t>
      </w:r>
      <w:r w:rsidR="00951FEA">
        <w:rPr>
          <w:rFonts w:ascii="Arial" w:hAnsi="Arial"/>
          <w:b/>
          <w:sz w:val="20"/>
          <w:szCs w:val="20"/>
        </w:rPr>
        <w:t>a</w:t>
      </w:r>
    </w:p>
    <w:p w:rsidR="00C8551F" w:rsidRPr="000126C5" w:rsidRDefault="00C8551F" w:rsidP="008F2A64">
      <w:pPr>
        <w:pStyle w:val="Identifikacestran"/>
        <w:spacing w:line="260" w:lineRule="atLeast"/>
        <w:jc w:val="left"/>
        <w:rPr>
          <w:rFonts w:ascii="Arial" w:hAnsi="Arial" w:cs="Arial"/>
          <w:b/>
          <w:color w:val="000000" w:themeColor="text1"/>
        </w:rPr>
      </w:pPr>
    </w:p>
    <w:p w:rsidR="00C8551F" w:rsidRPr="00D7231C" w:rsidRDefault="00C8551F" w:rsidP="008F2A64">
      <w:pPr>
        <w:pStyle w:val="Identifikacestran"/>
        <w:spacing w:line="260" w:lineRule="atLeast"/>
        <w:jc w:val="left"/>
        <w:rPr>
          <w:rFonts w:ascii="Arial" w:hAnsi="Arial" w:cs="Arial"/>
          <w:sz w:val="20"/>
        </w:rPr>
      </w:pPr>
    </w:p>
    <w:p w:rsidR="004254A0" w:rsidRPr="00D7231C" w:rsidRDefault="004254A0" w:rsidP="004254A0">
      <w:pPr>
        <w:pStyle w:val="Smluvnstrana"/>
        <w:spacing w:after="60" w:line="260" w:lineRule="atLeast"/>
        <w:jc w:val="left"/>
        <w:rPr>
          <w:rFonts w:ascii="Arial" w:hAnsi="Arial" w:cs="Arial"/>
          <w:sz w:val="20"/>
        </w:rPr>
      </w:pPr>
      <w:r w:rsidRPr="00D7231C">
        <w:rPr>
          <w:rFonts w:ascii="Arial" w:hAnsi="Arial" w:cs="Arial"/>
          <w:sz w:val="20"/>
        </w:rPr>
        <w:t>ENVIROS, s.r.o.</w:t>
      </w:r>
      <w:r w:rsidRPr="00D7231C">
        <w:rPr>
          <w:rFonts w:ascii="Arial" w:hAnsi="Arial" w:cs="Arial"/>
          <w:b w:val="0"/>
          <w:sz w:val="20"/>
        </w:rPr>
        <w:t xml:space="preserve"> </w:t>
      </w:r>
    </w:p>
    <w:p w:rsidR="004254A0" w:rsidRPr="00D7231C" w:rsidRDefault="004254A0" w:rsidP="004254A0">
      <w:pPr>
        <w:spacing w:after="60" w:line="260" w:lineRule="atLeast"/>
        <w:ind w:right="-1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 xml:space="preserve">se sídlem:  </w:t>
      </w:r>
      <w:r w:rsidRPr="00D7231C">
        <w:rPr>
          <w:rFonts w:ascii="Arial" w:hAnsi="Arial" w:cs="Arial"/>
          <w:sz w:val="20"/>
          <w:szCs w:val="20"/>
        </w:rPr>
        <w:tab/>
      </w:r>
      <w:r w:rsidRPr="00D7231C">
        <w:rPr>
          <w:rFonts w:ascii="Arial" w:hAnsi="Arial" w:cs="Arial"/>
          <w:sz w:val="20"/>
          <w:szCs w:val="20"/>
        </w:rPr>
        <w:tab/>
        <w:t>Dykova 53/10, Praha 10 - Vinohrady, 101 00</w:t>
      </w:r>
    </w:p>
    <w:p w:rsidR="004254A0" w:rsidRPr="00D7231C" w:rsidRDefault="004254A0" w:rsidP="004254A0">
      <w:pPr>
        <w:spacing w:after="60" w:line="260" w:lineRule="atLeast"/>
        <w:ind w:right="-1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>IČ:</w:t>
      </w:r>
      <w:r w:rsidRPr="00D7231C">
        <w:rPr>
          <w:rFonts w:ascii="Arial" w:hAnsi="Arial" w:cs="Arial"/>
          <w:sz w:val="20"/>
          <w:szCs w:val="20"/>
        </w:rPr>
        <w:tab/>
      </w:r>
      <w:r w:rsidRPr="00D7231C">
        <w:rPr>
          <w:rFonts w:ascii="Arial" w:hAnsi="Arial" w:cs="Arial"/>
          <w:sz w:val="20"/>
          <w:szCs w:val="20"/>
        </w:rPr>
        <w:tab/>
        <w:t>61503240</w:t>
      </w:r>
    </w:p>
    <w:p w:rsidR="004254A0" w:rsidRPr="00D7231C" w:rsidRDefault="004254A0" w:rsidP="004254A0">
      <w:pPr>
        <w:tabs>
          <w:tab w:val="right" w:pos="1134"/>
        </w:tabs>
        <w:spacing w:after="60" w:line="260" w:lineRule="atLeast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>DIČ:</w:t>
      </w:r>
      <w:r w:rsidRPr="00D7231C">
        <w:rPr>
          <w:rFonts w:ascii="Arial" w:hAnsi="Arial" w:cs="Arial"/>
          <w:sz w:val="20"/>
          <w:szCs w:val="20"/>
        </w:rPr>
        <w:tab/>
        <w:t xml:space="preserve">            </w:t>
      </w:r>
      <w:r w:rsidRPr="00D7231C">
        <w:rPr>
          <w:rFonts w:ascii="Arial" w:hAnsi="Arial" w:cs="Arial"/>
          <w:sz w:val="20"/>
          <w:szCs w:val="20"/>
        </w:rPr>
        <w:tab/>
        <w:t>CZ61503240</w:t>
      </w:r>
    </w:p>
    <w:p w:rsidR="004254A0" w:rsidRPr="00D7231C" w:rsidRDefault="004254A0" w:rsidP="004254A0">
      <w:pPr>
        <w:tabs>
          <w:tab w:val="right" w:pos="9072"/>
          <w:tab w:val="right" w:pos="9360"/>
        </w:tabs>
        <w:spacing w:after="60" w:line="260" w:lineRule="atLeast"/>
        <w:ind w:right="-1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 xml:space="preserve">jednající/zastoupen:     </w:t>
      </w:r>
      <w:r w:rsidR="0046528E">
        <w:rPr>
          <w:rFonts w:ascii="Arial" w:hAnsi="Arial" w:cs="Arial"/>
          <w:sz w:val="20"/>
          <w:szCs w:val="20"/>
        </w:rPr>
        <w:t xml:space="preserve">    </w:t>
      </w:r>
      <w:r w:rsidRPr="00D7231C">
        <w:rPr>
          <w:rFonts w:ascii="Arial" w:hAnsi="Arial" w:cs="Arial"/>
          <w:sz w:val="20"/>
          <w:szCs w:val="20"/>
        </w:rPr>
        <w:t xml:space="preserve">Ing. Jaroslavem Víchem, jednatelem </w:t>
      </w:r>
    </w:p>
    <w:p w:rsidR="004254A0" w:rsidRPr="00D7231C" w:rsidRDefault="004254A0" w:rsidP="00A57997">
      <w:pPr>
        <w:spacing w:after="60" w:line="260" w:lineRule="atLeast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>zapsaný v</w:t>
      </w:r>
      <w:r w:rsidR="00A57997" w:rsidRPr="00D7231C">
        <w:rPr>
          <w:rFonts w:ascii="Arial" w:hAnsi="Arial" w:cs="Arial"/>
          <w:sz w:val="20"/>
          <w:szCs w:val="20"/>
        </w:rPr>
        <w:t xml:space="preserve">: </w:t>
      </w:r>
      <w:r w:rsidR="00A57997" w:rsidRPr="00D7231C">
        <w:rPr>
          <w:rFonts w:ascii="Arial" w:hAnsi="Arial" w:cs="Arial"/>
          <w:sz w:val="20"/>
          <w:szCs w:val="20"/>
        </w:rPr>
        <w:tab/>
      </w:r>
      <w:r w:rsidR="00A57997" w:rsidRPr="00D7231C">
        <w:rPr>
          <w:rFonts w:ascii="Arial" w:hAnsi="Arial" w:cs="Arial"/>
          <w:sz w:val="20"/>
          <w:szCs w:val="20"/>
        </w:rPr>
        <w:tab/>
      </w:r>
      <w:r w:rsidRPr="00D7231C">
        <w:rPr>
          <w:rFonts w:ascii="Arial" w:hAnsi="Arial" w:cs="Arial"/>
          <w:sz w:val="20"/>
          <w:szCs w:val="20"/>
        </w:rPr>
        <w:t>rejstříku Městského soudu v Praze, odd. C,  vložka 31001</w:t>
      </w:r>
    </w:p>
    <w:p w:rsidR="004254A0" w:rsidRPr="00D7231C" w:rsidRDefault="004254A0" w:rsidP="0046528E">
      <w:pPr>
        <w:tabs>
          <w:tab w:val="right" w:pos="2268"/>
          <w:tab w:val="right" w:pos="9360"/>
        </w:tabs>
        <w:spacing w:after="60" w:line="260" w:lineRule="atLeast"/>
        <w:ind w:right="-1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 xml:space="preserve">Bankovní spojení: </w:t>
      </w:r>
      <w:r w:rsidRPr="00D7231C">
        <w:rPr>
          <w:rFonts w:ascii="Arial" w:hAnsi="Arial" w:cs="Arial"/>
          <w:sz w:val="20"/>
          <w:szCs w:val="20"/>
        </w:rPr>
        <w:tab/>
        <w:t xml:space="preserve">       </w:t>
      </w:r>
      <w:r w:rsidR="0046528E">
        <w:rPr>
          <w:rFonts w:ascii="Arial" w:hAnsi="Arial" w:cs="Arial"/>
          <w:sz w:val="20"/>
          <w:szCs w:val="20"/>
        </w:rPr>
        <w:t xml:space="preserve">    </w:t>
      </w:r>
      <w:r w:rsidRPr="00D7231C">
        <w:rPr>
          <w:rFonts w:ascii="Arial" w:hAnsi="Arial" w:cs="Arial"/>
          <w:sz w:val="20"/>
          <w:szCs w:val="20"/>
        </w:rPr>
        <w:t xml:space="preserve">ČSOB, a.s., </w:t>
      </w:r>
      <w:proofErr w:type="gramStart"/>
      <w:r w:rsidRPr="00D7231C">
        <w:rPr>
          <w:rFonts w:ascii="Arial" w:hAnsi="Arial" w:cs="Arial"/>
          <w:sz w:val="20"/>
          <w:szCs w:val="20"/>
        </w:rPr>
        <w:t>č.ú.:</w:t>
      </w:r>
      <w:proofErr w:type="spellStart"/>
      <w:r w:rsidR="00C10B0C">
        <w:rPr>
          <w:rFonts w:ascii="Arial" w:hAnsi="Arial" w:cs="Arial"/>
          <w:sz w:val="20"/>
          <w:szCs w:val="20"/>
        </w:rPr>
        <w:t>xxxxxxxxxxxxxxxxxxxxx</w:t>
      </w:r>
      <w:proofErr w:type="spellEnd"/>
      <w:proofErr w:type="gramEnd"/>
      <w:r w:rsidRPr="00D7231C">
        <w:rPr>
          <w:rFonts w:ascii="Arial" w:hAnsi="Arial" w:cs="Arial"/>
          <w:sz w:val="20"/>
          <w:szCs w:val="20"/>
        </w:rPr>
        <w:tab/>
      </w:r>
      <w:r w:rsidRPr="00D7231C">
        <w:rPr>
          <w:rFonts w:ascii="Arial" w:hAnsi="Arial" w:cs="Arial"/>
          <w:sz w:val="20"/>
          <w:szCs w:val="20"/>
        </w:rPr>
        <w:tab/>
      </w:r>
    </w:p>
    <w:p w:rsidR="004254A0" w:rsidRPr="00D7231C" w:rsidRDefault="004254A0" w:rsidP="004254A0">
      <w:pPr>
        <w:pStyle w:val="Identifikacestran"/>
        <w:spacing w:before="120" w:line="260" w:lineRule="atLeast"/>
        <w:rPr>
          <w:rFonts w:ascii="Arial" w:hAnsi="Arial" w:cs="Arial"/>
          <w:sz w:val="20"/>
        </w:rPr>
      </w:pPr>
      <w:r w:rsidRPr="00D7231C">
        <w:rPr>
          <w:rFonts w:ascii="Arial" w:hAnsi="Arial" w:cs="Arial"/>
          <w:sz w:val="20"/>
        </w:rPr>
        <w:t>(dále jen „</w:t>
      </w:r>
      <w:r w:rsidRPr="00D7231C">
        <w:rPr>
          <w:rFonts w:ascii="Arial" w:hAnsi="Arial" w:cs="Arial"/>
          <w:b/>
          <w:sz w:val="20"/>
        </w:rPr>
        <w:t>Objednatel</w:t>
      </w:r>
      <w:r w:rsidRPr="00D7231C">
        <w:rPr>
          <w:rFonts w:ascii="Arial" w:hAnsi="Arial" w:cs="Arial"/>
          <w:sz w:val="20"/>
        </w:rPr>
        <w:t>“)</w:t>
      </w:r>
    </w:p>
    <w:p w:rsidR="00832523" w:rsidRPr="00D7231C" w:rsidRDefault="00832523" w:rsidP="008F2A64">
      <w:pPr>
        <w:pStyle w:val="Identifikacestran"/>
        <w:spacing w:line="260" w:lineRule="atLeast"/>
        <w:rPr>
          <w:rFonts w:ascii="Arial" w:hAnsi="Arial" w:cs="Arial"/>
          <w:sz w:val="20"/>
        </w:rPr>
      </w:pPr>
    </w:p>
    <w:p w:rsidR="00C8551F" w:rsidRPr="00D7231C" w:rsidRDefault="00C8551F" w:rsidP="008F2A64">
      <w:pPr>
        <w:pStyle w:val="Identifikacestran"/>
        <w:spacing w:line="260" w:lineRule="atLeast"/>
        <w:rPr>
          <w:rFonts w:ascii="Arial" w:hAnsi="Arial" w:cs="Arial"/>
          <w:sz w:val="20"/>
        </w:rPr>
      </w:pPr>
      <w:r w:rsidRPr="00D7231C">
        <w:rPr>
          <w:rFonts w:ascii="Arial" w:hAnsi="Arial" w:cs="Arial"/>
          <w:sz w:val="20"/>
        </w:rPr>
        <w:t>na straně jedné</w:t>
      </w:r>
      <w:r w:rsidR="001007EF" w:rsidRPr="00D7231C">
        <w:rPr>
          <w:rFonts w:ascii="Arial" w:hAnsi="Arial" w:cs="Arial"/>
          <w:sz w:val="20"/>
        </w:rPr>
        <w:t xml:space="preserve"> </w:t>
      </w:r>
      <w:r w:rsidRPr="00D7231C">
        <w:rPr>
          <w:rFonts w:ascii="Arial" w:hAnsi="Arial" w:cs="Arial"/>
          <w:sz w:val="20"/>
        </w:rPr>
        <w:t>a</w:t>
      </w:r>
      <w:r w:rsidR="004254A0" w:rsidRPr="00D7231C">
        <w:rPr>
          <w:rFonts w:ascii="Arial" w:hAnsi="Arial" w:cs="Arial"/>
          <w:sz w:val="20"/>
        </w:rPr>
        <w:t xml:space="preserve"> </w:t>
      </w:r>
    </w:p>
    <w:p w:rsidR="004254A0" w:rsidRPr="00D7231C" w:rsidRDefault="004254A0" w:rsidP="008F2A64">
      <w:pPr>
        <w:pStyle w:val="Identifikacestran"/>
        <w:spacing w:line="260" w:lineRule="atLeast"/>
        <w:rPr>
          <w:rFonts w:ascii="Arial" w:hAnsi="Arial" w:cs="Arial"/>
          <w:sz w:val="20"/>
        </w:rPr>
      </w:pPr>
    </w:p>
    <w:p w:rsidR="00C8551F" w:rsidRPr="00D7231C" w:rsidRDefault="00BF6BE1" w:rsidP="004254A0">
      <w:pPr>
        <w:pStyle w:val="Smluvnstrana"/>
        <w:spacing w:after="60" w:line="26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Centrum dopravního výzkumu</w:t>
      </w:r>
      <w:r w:rsidR="004254A0" w:rsidRPr="00D7231C">
        <w:rPr>
          <w:rFonts w:ascii="Arial" w:hAnsi="Arial" w:cs="Arial"/>
          <w:sz w:val="20"/>
        </w:rPr>
        <w:t>, v.</w:t>
      </w:r>
      <w:r w:rsidR="00804900">
        <w:rPr>
          <w:rFonts w:ascii="Arial" w:hAnsi="Arial" w:cs="Arial"/>
          <w:sz w:val="20"/>
        </w:rPr>
        <w:t xml:space="preserve"> </w:t>
      </w:r>
      <w:r w:rsidR="004254A0" w:rsidRPr="00D7231C">
        <w:rPr>
          <w:rFonts w:ascii="Arial" w:hAnsi="Arial" w:cs="Arial"/>
          <w:sz w:val="20"/>
        </w:rPr>
        <w:t>v.</w:t>
      </w:r>
      <w:r w:rsidR="00804900">
        <w:rPr>
          <w:rFonts w:ascii="Arial" w:hAnsi="Arial" w:cs="Arial"/>
          <w:sz w:val="20"/>
        </w:rPr>
        <w:t xml:space="preserve"> </w:t>
      </w:r>
      <w:r w:rsidR="004254A0" w:rsidRPr="00D7231C">
        <w:rPr>
          <w:rFonts w:ascii="Arial" w:hAnsi="Arial" w:cs="Arial"/>
          <w:sz w:val="20"/>
        </w:rPr>
        <w:t>i.</w:t>
      </w:r>
    </w:p>
    <w:p w:rsidR="004254A0" w:rsidRPr="00D7231C" w:rsidRDefault="004254A0" w:rsidP="004254A0">
      <w:pPr>
        <w:spacing w:after="60" w:line="260" w:lineRule="atLeast"/>
        <w:ind w:right="-1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 xml:space="preserve">se sídlem:  </w:t>
      </w:r>
      <w:r w:rsidRPr="00D7231C">
        <w:rPr>
          <w:rFonts w:ascii="Arial" w:hAnsi="Arial" w:cs="Arial"/>
          <w:sz w:val="20"/>
          <w:szCs w:val="20"/>
        </w:rPr>
        <w:tab/>
      </w:r>
      <w:r w:rsidRPr="00D7231C">
        <w:rPr>
          <w:rFonts w:ascii="Arial" w:hAnsi="Arial" w:cs="Arial"/>
          <w:sz w:val="20"/>
          <w:szCs w:val="20"/>
        </w:rPr>
        <w:tab/>
        <w:t>Líšeňská 33a, 636</w:t>
      </w:r>
      <w:r w:rsidR="005544C7" w:rsidRPr="00D7231C">
        <w:rPr>
          <w:rFonts w:ascii="Arial" w:hAnsi="Arial" w:cs="Arial"/>
          <w:sz w:val="20"/>
          <w:szCs w:val="20"/>
        </w:rPr>
        <w:t xml:space="preserve"> </w:t>
      </w:r>
      <w:r w:rsidRPr="00D7231C">
        <w:rPr>
          <w:rFonts w:ascii="Arial" w:hAnsi="Arial" w:cs="Arial"/>
          <w:sz w:val="20"/>
          <w:szCs w:val="20"/>
        </w:rPr>
        <w:t>00 Brno</w:t>
      </w:r>
    </w:p>
    <w:p w:rsidR="004254A0" w:rsidRPr="00D7231C" w:rsidRDefault="004254A0" w:rsidP="004254A0">
      <w:pPr>
        <w:spacing w:after="60" w:line="260" w:lineRule="atLeast"/>
        <w:ind w:right="-1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>IČ:</w:t>
      </w:r>
      <w:r w:rsidRPr="00D7231C">
        <w:rPr>
          <w:rFonts w:ascii="Arial" w:hAnsi="Arial" w:cs="Arial"/>
          <w:sz w:val="20"/>
          <w:szCs w:val="20"/>
        </w:rPr>
        <w:tab/>
      </w:r>
      <w:r w:rsidRPr="00D7231C">
        <w:rPr>
          <w:rFonts w:ascii="Arial" w:hAnsi="Arial" w:cs="Arial"/>
          <w:sz w:val="20"/>
          <w:szCs w:val="20"/>
        </w:rPr>
        <w:tab/>
        <w:t>44994575</w:t>
      </w:r>
    </w:p>
    <w:p w:rsidR="004254A0" w:rsidRPr="00D7231C" w:rsidRDefault="004254A0" w:rsidP="004254A0">
      <w:pPr>
        <w:tabs>
          <w:tab w:val="right" w:pos="1134"/>
        </w:tabs>
        <w:spacing w:after="60" w:line="260" w:lineRule="atLeast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>DIČ:</w:t>
      </w:r>
      <w:r w:rsidRPr="00D7231C">
        <w:rPr>
          <w:rFonts w:ascii="Arial" w:hAnsi="Arial" w:cs="Arial"/>
          <w:sz w:val="20"/>
          <w:szCs w:val="20"/>
        </w:rPr>
        <w:tab/>
      </w:r>
      <w:r w:rsidRPr="00D7231C">
        <w:rPr>
          <w:rFonts w:ascii="Arial" w:hAnsi="Arial" w:cs="Arial"/>
          <w:sz w:val="20"/>
          <w:szCs w:val="20"/>
        </w:rPr>
        <w:tab/>
        <w:t xml:space="preserve">CZ44994575            </w:t>
      </w:r>
    </w:p>
    <w:p w:rsidR="004254A0" w:rsidRPr="00D7231C" w:rsidRDefault="004254A0" w:rsidP="00D7231C">
      <w:pPr>
        <w:spacing w:after="60" w:line="260" w:lineRule="atLeast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>jednající/zastoupen:</w:t>
      </w:r>
      <w:r w:rsidR="00D7231C">
        <w:rPr>
          <w:rFonts w:ascii="Arial" w:hAnsi="Arial" w:cs="Arial"/>
          <w:sz w:val="20"/>
          <w:szCs w:val="20"/>
        </w:rPr>
        <w:tab/>
      </w:r>
      <w:r w:rsidR="00DD399E" w:rsidRPr="00DD399E">
        <w:rPr>
          <w:rFonts w:ascii="Arial" w:hAnsi="Arial" w:cs="Arial"/>
          <w:sz w:val="20"/>
        </w:rPr>
        <w:t>Ing. Jindřich</w:t>
      </w:r>
      <w:r w:rsidR="00DD399E">
        <w:rPr>
          <w:rFonts w:ascii="Arial" w:hAnsi="Arial" w:cs="Arial"/>
          <w:sz w:val="20"/>
        </w:rPr>
        <w:t>em</w:t>
      </w:r>
      <w:r w:rsidR="00DD399E" w:rsidRPr="00DD399E">
        <w:rPr>
          <w:rFonts w:ascii="Arial" w:hAnsi="Arial" w:cs="Arial"/>
          <w:sz w:val="20"/>
        </w:rPr>
        <w:t xml:space="preserve"> Frič</w:t>
      </w:r>
      <w:r w:rsidR="00DD399E">
        <w:rPr>
          <w:rFonts w:ascii="Arial" w:hAnsi="Arial" w:cs="Arial"/>
          <w:sz w:val="20"/>
        </w:rPr>
        <w:t>em</w:t>
      </w:r>
      <w:r w:rsidR="00DD399E" w:rsidRPr="00DD399E">
        <w:rPr>
          <w:rFonts w:ascii="Arial" w:hAnsi="Arial" w:cs="Arial"/>
          <w:sz w:val="20"/>
        </w:rPr>
        <w:t>, Ph.D.</w:t>
      </w:r>
      <w:r w:rsidR="000D7884">
        <w:rPr>
          <w:rFonts w:ascii="Arial" w:hAnsi="Arial" w:cs="Arial"/>
          <w:sz w:val="20"/>
        </w:rPr>
        <w:t>, ředitelem</w:t>
      </w:r>
    </w:p>
    <w:p w:rsidR="004254A0" w:rsidRPr="00D7231C" w:rsidRDefault="00B91649" w:rsidP="004254A0">
      <w:pPr>
        <w:spacing w:after="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 v:             </w:t>
      </w:r>
      <w:r>
        <w:rPr>
          <w:rFonts w:ascii="Arial" w:hAnsi="Arial" w:cs="Arial"/>
          <w:sz w:val="20"/>
          <w:szCs w:val="20"/>
        </w:rPr>
        <w:tab/>
        <w:t>r</w:t>
      </w:r>
      <w:r w:rsidR="004254A0" w:rsidRPr="00D7231C">
        <w:rPr>
          <w:rFonts w:ascii="Arial" w:hAnsi="Arial" w:cs="Arial"/>
          <w:sz w:val="20"/>
          <w:szCs w:val="20"/>
        </w:rPr>
        <w:t>ejstříku veřejných výzkumných institucí vedený MŠMT ČR</w:t>
      </w:r>
    </w:p>
    <w:p w:rsidR="004254A0" w:rsidRPr="00D7231C" w:rsidRDefault="004254A0" w:rsidP="004254A0">
      <w:pPr>
        <w:tabs>
          <w:tab w:val="right" w:pos="1985"/>
        </w:tabs>
        <w:spacing w:after="60" w:line="260" w:lineRule="atLeast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>Bankovní spojení:</w:t>
      </w:r>
      <w:r w:rsidRPr="00D7231C">
        <w:rPr>
          <w:rFonts w:ascii="Arial" w:hAnsi="Arial" w:cs="Arial"/>
          <w:sz w:val="20"/>
          <w:szCs w:val="20"/>
        </w:rPr>
        <w:tab/>
      </w:r>
      <w:r w:rsidRPr="00D7231C">
        <w:rPr>
          <w:rFonts w:ascii="Arial" w:hAnsi="Arial" w:cs="Arial"/>
          <w:sz w:val="20"/>
          <w:szCs w:val="20"/>
        </w:rPr>
        <w:tab/>
      </w:r>
      <w:r w:rsidR="006815E4" w:rsidRPr="006815E4">
        <w:rPr>
          <w:rFonts w:ascii="Arial" w:hAnsi="Arial" w:cs="Arial"/>
          <w:sz w:val="20"/>
          <w:szCs w:val="20"/>
        </w:rPr>
        <w:t>Komerční banka, a.s.</w:t>
      </w:r>
      <w:r w:rsidR="00422762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22762">
        <w:rPr>
          <w:rFonts w:ascii="Arial" w:hAnsi="Arial" w:cs="Arial"/>
          <w:sz w:val="20"/>
          <w:szCs w:val="20"/>
        </w:rPr>
        <w:t>č.ú.:</w:t>
      </w:r>
      <w:proofErr w:type="spellStart"/>
      <w:r w:rsidR="00C10B0C">
        <w:rPr>
          <w:rFonts w:ascii="Arial" w:hAnsi="Arial" w:cs="Arial"/>
          <w:sz w:val="20"/>
          <w:szCs w:val="20"/>
        </w:rPr>
        <w:t>xxxxxxxxxxxxxxxxxxx</w:t>
      </w:r>
      <w:proofErr w:type="spellEnd"/>
      <w:proofErr w:type="gramEnd"/>
      <w:r w:rsidRPr="00D7231C">
        <w:rPr>
          <w:rFonts w:ascii="Arial" w:hAnsi="Arial" w:cs="Arial"/>
          <w:sz w:val="20"/>
          <w:szCs w:val="20"/>
        </w:rPr>
        <w:tab/>
      </w:r>
    </w:p>
    <w:p w:rsidR="00C8551F" w:rsidRPr="00D7231C" w:rsidRDefault="00C8551F" w:rsidP="00C737D2">
      <w:pPr>
        <w:pStyle w:val="Identifikacestran"/>
        <w:spacing w:before="120" w:line="260" w:lineRule="atLeast"/>
        <w:rPr>
          <w:rFonts w:ascii="Arial" w:hAnsi="Arial" w:cs="Arial"/>
          <w:sz w:val="20"/>
        </w:rPr>
      </w:pPr>
      <w:r w:rsidRPr="00D7231C">
        <w:rPr>
          <w:rFonts w:ascii="Arial" w:hAnsi="Arial" w:cs="Arial"/>
          <w:sz w:val="20"/>
        </w:rPr>
        <w:t>(dále jen „</w:t>
      </w:r>
      <w:r w:rsidRPr="00D7231C">
        <w:rPr>
          <w:rFonts w:ascii="Arial" w:hAnsi="Arial" w:cs="Arial"/>
          <w:b/>
          <w:sz w:val="20"/>
        </w:rPr>
        <w:t>Zhotovitel</w:t>
      </w:r>
      <w:r w:rsidRPr="00D7231C">
        <w:rPr>
          <w:rFonts w:ascii="Arial" w:hAnsi="Arial" w:cs="Arial"/>
          <w:sz w:val="20"/>
        </w:rPr>
        <w:t>“)</w:t>
      </w:r>
    </w:p>
    <w:p w:rsidR="00C8551F" w:rsidRPr="00D7231C" w:rsidRDefault="00C8551F" w:rsidP="008F2A64">
      <w:pPr>
        <w:pStyle w:val="Identifikacestran"/>
        <w:spacing w:line="260" w:lineRule="atLeast"/>
        <w:rPr>
          <w:rFonts w:ascii="Arial" w:hAnsi="Arial" w:cs="Arial"/>
          <w:sz w:val="20"/>
        </w:rPr>
      </w:pPr>
    </w:p>
    <w:p w:rsidR="00C8551F" w:rsidRPr="00D7231C" w:rsidRDefault="00C8551F" w:rsidP="008F2A64">
      <w:pPr>
        <w:pStyle w:val="Identifikacestran"/>
        <w:spacing w:line="260" w:lineRule="atLeast"/>
        <w:rPr>
          <w:rFonts w:ascii="Arial" w:hAnsi="Arial" w:cs="Arial"/>
          <w:sz w:val="20"/>
        </w:rPr>
      </w:pPr>
      <w:r w:rsidRPr="00D7231C">
        <w:rPr>
          <w:rFonts w:ascii="Arial" w:hAnsi="Arial" w:cs="Arial"/>
          <w:sz w:val="20"/>
        </w:rPr>
        <w:t>na straně druhé</w:t>
      </w:r>
    </w:p>
    <w:p w:rsidR="00C8551F" w:rsidRPr="00D7231C" w:rsidRDefault="00C8551F" w:rsidP="008F2A6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D7231C">
        <w:rPr>
          <w:rFonts w:ascii="Arial" w:hAnsi="Arial" w:cs="Arial"/>
          <w:sz w:val="20"/>
          <w:szCs w:val="20"/>
        </w:rPr>
        <w:t>(společně dále jen „</w:t>
      </w:r>
      <w:r w:rsidRPr="00D7231C">
        <w:rPr>
          <w:rFonts w:ascii="Arial" w:hAnsi="Arial" w:cs="Arial"/>
          <w:b/>
          <w:sz w:val="20"/>
          <w:szCs w:val="20"/>
        </w:rPr>
        <w:t>Smluvní strany</w:t>
      </w:r>
      <w:r w:rsidRPr="00D7231C">
        <w:rPr>
          <w:rFonts w:ascii="Arial" w:hAnsi="Arial" w:cs="Arial"/>
          <w:sz w:val="20"/>
          <w:szCs w:val="20"/>
        </w:rPr>
        <w:t>“ nebo každý jednotlivě „</w:t>
      </w:r>
      <w:r w:rsidRPr="00D7231C">
        <w:rPr>
          <w:rFonts w:ascii="Arial" w:hAnsi="Arial" w:cs="Arial"/>
          <w:b/>
          <w:sz w:val="20"/>
          <w:szCs w:val="20"/>
        </w:rPr>
        <w:t>Smluvní strana</w:t>
      </w:r>
      <w:r w:rsidRPr="00D7231C">
        <w:rPr>
          <w:rFonts w:ascii="Arial" w:hAnsi="Arial" w:cs="Arial"/>
          <w:sz w:val="20"/>
          <w:szCs w:val="20"/>
        </w:rPr>
        <w:t>“)</w:t>
      </w:r>
    </w:p>
    <w:p w:rsidR="00C8551F" w:rsidRPr="00951FEA" w:rsidRDefault="00C8551F" w:rsidP="00951FEA">
      <w:pPr>
        <w:spacing w:after="120" w:line="260" w:lineRule="atLeast"/>
        <w:jc w:val="center"/>
        <w:rPr>
          <w:rFonts w:ascii="Arial" w:hAnsi="Arial" w:cs="Arial"/>
          <w:sz w:val="20"/>
          <w:szCs w:val="20"/>
        </w:rPr>
      </w:pPr>
      <w:r w:rsidRPr="00951FEA">
        <w:rPr>
          <w:rFonts w:ascii="Arial" w:hAnsi="Arial" w:cs="Arial"/>
          <w:sz w:val="20"/>
          <w:szCs w:val="20"/>
        </w:rPr>
        <w:t>uzavírají</w:t>
      </w:r>
    </w:p>
    <w:p w:rsidR="00951FEA" w:rsidRDefault="00C8551F" w:rsidP="00951FEA">
      <w:pPr>
        <w:spacing w:after="120" w:line="260" w:lineRule="atLeast"/>
        <w:jc w:val="center"/>
        <w:rPr>
          <w:rFonts w:ascii="Arial" w:hAnsi="Arial" w:cs="Arial"/>
          <w:sz w:val="20"/>
          <w:szCs w:val="20"/>
        </w:rPr>
      </w:pPr>
      <w:r w:rsidRPr="00951FEA">
        <w:rPr>
          <w:rFonts w:ascii="Arial" w:hAnsi="Arial" w:cs="Arial"/>
          <w:sz w:val="20"/>
          <w:szCs w:val="20"/>
        </w:rPr>
        <w:t xml:space="preserve">v souladu s ustanovením § </w:t>
      </w:r>
      <w:r w:rsidR="002D1515" w:rsidRPr="00951FEA">
        <w:rPr>
          <w:rFonts w:ascii="Arial" w:hAnsi="Arial" w:cs="Arial"/>
          <w:sz w:val="20"/>
          <w:szCs w:val="20"/>
        </w:rPr>
        <w:t>2586 a násl. zákona č. 89/2012, Sb.,</w:t>
      </w:r>
      <w:r w:rsidRPr="00951FEA">
        <w:rPr>
          <w:rFonts w:ascii="Arial" w:hAnsi="Arial" w:cs="Arial"/>
          <w:sz w:val="20"/>
          <w:szCs w:val="20"/>
        </w:rPr>
        <w:t xml:space="preserve"> ob</w:t>
      </w:r>
      <w:r w:rsidR="002D1515" w:rsidRPr="00951FEA">
        <w:rPr>
          <w:rFonts w:ascii="Arial" w:hAnsi="Arial" w:cs="Arial"/>
          <w:sz w:val="20"/>
          <w:szCs w:val="20"/>
        </w:rPr>
        <w:t>čanské</w:t>
      </w:r>
      <w:r w:rsidRPr="00951FEA">
        <w:rPr>
          <w:rFonts w:ascii="Arial" w:hAnsi="Arial" w:cs="Arial"/>
          <w:sz w:val="20"/>
          <w:szCs w:val="20"/>
        </w:rPr>
        <w:t xml:space="preserve">ho zákoníku, </w:t>
      </w:r>
      <w:r w:rsidR="00951FEA">
        <w:rPr>
          <w:rFonts w:ascii="Arial" w:hAnsi="Arial" w:cs="Arial"/>
          <w:sz w:val="20"/>
          <w:szCs w:val="20"/>
        </w:rPr>
        <w:t xml:space="preserve"> </w:t>
      </w:r>
    </w:p>
    <w:p w:rsidR="00C8551F" w:rsidRPr="00951FEA" w:rsidRDefault="00C8551F" w:rsidP="00951FEA">
      <w:pPr>
        <w:spacing w:after="120" w:line="260" w:lineRule="atLeast"/>
        <w:jc w:val="center"/>
        <w:rPr>
          <w:rFonts w:ascii="Arial" w:hAnsi="Arial" w:cs="Arial"/>
          <w:sz w:val="20"/>
          <w:szCs w:val="20"/>
        </w:rPr>
      </w:pPr>
      <w:r w:rsidRPr="00951FEA">
        <w:rPr>
          <w:rFonts w:ascii="Arial" w:hAnsi="Arial" w:cs="Arial"/>
          <w:sz w:val="20"/>
          <w:szCs w:val="20"/>
        </w:rPr>
        <w:t>tuto</w:t>
      </w:r>
    </w:p>
    <w:p w:rsidR="00C8551F" w:rsidRPr="00951FEA" w:rsidRDefault="00C8551F" w:rsidP="00951FEA">
      <w:pPr>
        <w:spacing w:after="120" w:line="260" w:lineRule="atLeast"/>
        <w:jc w:val="center"/>
        <w:rPr>
          <w:rFonts w:ascii="Arial" w:hAnsi="Arial" w:cs="Arial"/>
          <w:sz w:val="20"/>
          <w:szCs w:val="20"/>
        </w:rPr>
      </w:pPr>
      <w:r w:rsidRPr="00951FEA">
        <w:rPr>
          <w:rFonts w:ascii="Arial" w:hAnsi="Arial" w:cs="Arial"/>
          <w:sz w:val="20"/>
          <w:szCs w:val="20"/>
        </w:rPr>
        <w:t xml:space="preserve">smlouvu o dílo na provedení </w:t>
      </w:r>
      <w:r w:rsidR="00A57997" w:rsidRPr="00951FEA">
        <w:rPr>
          <w:rFonts w:ascii="Arial" w:hAnsi="Arial" w:cs="Arial"/>
          <w:sz w:val="20"/>
          <w:szCs w:val="20"/>
        </w:rPr>
        <w:t xml:space="preserve">dílčích částí </w:t>
      </w:r>
      <w:r w:rsidRPr="00951FEA">
        <w:rPr>
          <w:rFonts w:ascii="Arial" w:hAnsi="Arial" w:cs="Arial"/>
          <w:sz w:val="20"/>
          <w:szCs w:val="20"/>
        </w:rPr>
        <w:t>veřejné zakázky s výše uvedeným názvem</w:t>
      </w:r>
    </w:p>
    <w:p w:rsidR="00C8551F" w:rsidRDefault="00C8551F" w:rsidP="00951FEA">
      <w:pPr>
        <w:spacing w:after="120" w:line="260" w:lineRule="atLeast"/>
        <w:jc w:val="center"/>
        <w:rPr>
          <w:rFonts w:ascii="Arial" w:hAnsi="Arial" w:cs="Arial"/>
          <w:sz w:val="20"/>
          <w:szCs w:val="20"/>
        </w:rPr>
      </w:pPr>
      <w:r w:rsidRPr="00951FEA">
        <w:rPr>
          <w:rFonts w:ascii="Arial" w:hAnsi="Arial" w:cs="Arial"/>
          <w:sz w:val="20"/>
          <w:szCs w:val="20"/>
        </w:rPr>
        <w:t>(dále jen „</w:t>
      </w:r>
      <w:r w:rsidRPr="00951FEA">
        <w:rPr>
          <w:rFonts w:ascii="Arial" w:hAnsi="Arial" w:cs="Arial"/>
          <w:b/>
          <w:sz w:val="20"/>
          <w:szCs w:val="20"/>
        </w:rPr>
        <w:t>Smlouva</w:t>
      </w:r>
      <w:r w:rsidRPr="00951FEA">
        <w:rPr>
          <w:rFonts w:ascii="Arial" w:hAnsi="Arial" w:cs="Arial"/>
          <w:sz w:val="20"/>
          <w:szCs w:val="20"/>
        </w:rPr>
        <w:t>“):</w:t>
      </w:r>
    </w:p>
    <w:p w:rsidR="00951FEA" w:rsidRDefault="00951FEA" w:rsidP="00951FEA">
      <w:pPr>
        <w:spacing w:after="0" w:line="260" w:lineRule="atLeast"/>
        <w:jc w:val="center"/>
        <w:rPr>
          <w:rFonts w:ascii="Arial" w:hAnsi="Arial" w:cs="Arial"/>
          <w:sz w:val="20"/>
          <w:szCs w:val="20"/>
        </w:rPr>
      </w:pPr>
    </w:p>
    <w:p w:rsidR="00C8551F" w:rsidRPr="001007EF" w:rsidRDefault="00C8551F" w:rsidP="00951FEA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120"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 w:rsidRPr="001007EF">
        <w:rPr>
          <w:rFonts w:ascii="Arial" w:hAnsi="Arial" w:cs="Arial"/>
        </w:rPr>
        <w:t>ÚČEL SMLOUVY</w:t>
      </w:r>
    </w:p>
    <w:p w:rsidR="00F110CD" w:rsidRPr="003B29C3" w:rsidRDefault="00F110CD" w:rsidP="00951FEA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3B29C3">
        <w:rPr>
          <w:rFonts w:ascii="Arial" w:hAnsi="Arial" w:cs="Arial"/>
          <w:sz w:val="20"/>
        </w:rPr>
        <w:t xml:space="preserve">Účelem Smlouvy je dohodnout právní podmínky provedení veřejné zakázky na </w:t>
      </w:r>
      <w:r w:rsidR="007F7EF4" w:rsidRPr="003B29C3">
        <w:rPr>
          <w:rFonts w:ascii="Arial" w:hAnsi="Arial" w:cs="Arial"/>
          <w:sz w:val="20"/>
        </w:rPr>
        <w:t>služby</w:t>
      </w:r>
      <w:r w:rsidRPr="003B29C3">
        <w:rPr>
          <w:rFonts w:ascii="Arial" w:hAnsi="Arial" w:cs="Arial"/>
          <w:sz w:val="20"/>
        </w:rPr>
        <w:t xml:space="preserve"> spočívající </w:t>
      </w:r>
      <w:r w:rsidR="003B29C3" w:rsidRPr="003B29C3">
        <w:rPr>
          <w:rFonts w:ascii="Arial" w:hAnsi="Arial" w:cs="Arial"/>
          <w:sz w:val="20"/>
        </w:rPr>
        <w:t xml:space="preserve">ve zpracování </w:t>
      </w:r>
      <w:r w:rsidR="00A57997">
        <w:rPr>
          <w:rFonts w:ascii="Arial" w:hAnsi="Arial" w:cs="Arial"/>
          <w:sz w:val="20"/>
        </w:rPr>
        <w:t xml:space="preserve">dílčích částí </w:t>
      </w:r>
      <w:r w:rsidR="003B29C3" w:rsidRPr="003B29C3">
        <w:rPr>
          <w:rFonts w:ascii="Arial" w:hAnsi="Arial" w:cs="Arial"/>
          <w:sz w:val="20"/>
        </w:rPr>
        <w:t xml:space="preserve">Akčního plánu udržitelné energetiky a adaptace města </w:t>
      </w:r>
      <w:r w:rsidR="007274C4">
        <w:rPr>
          <w:rFonts w:ascii="Arial" w:hAnsi="Arial" w:cs="Arial"/>
          <w:sz w:val="20"/>
        </w:rPr>
        <w:t>Brna</w:t>
      </w:r>
      <w:r w:rsidR="003B29C3" w:rsidRPr="003B29C3">
        <w:rPr>
          <w:rFonts w:ascii="Arial" w:hAnsi="Arial" w:cs="Arial"/>
          <w:sz w:val="20"/>
        </w:rPr>
        <w:t xml:space="preserve"> na klimatické změny (SECAP) do roku 2030 </w:t>
      </w:r>
      <w:r w:rsidR="00951FEA">
        <w:rPr>
          <w:rFonts w:ascii="Arial" w:hAnsi="Arial" w:cs="Arial"/>
          <w:sz w:val="20"/>
        </w:rPr>
        <w:t xml:space="preserve">– oblast doprava - </w:t>
      </w:r>
      <w:r w:rsidR="003B29C3" w:rsidRPr="003B29C3">
        <w:rPr>
          <w:rFonts w:ascii="Arial" w:hAnsi="Arial" w:cs="Arial"/>
          <w:sz w:val="20"/>
        </w:rPr>
        <w:t>dle certifikované metodiky Paktu starostů a primátorů (</w:t>
      </w:r>
      <w:proofErr w:type="spellStart"/>
      <w:r w:rsidR="003B29C3" w:rsidRPr="003B29C3">
        <w:rPr>
          <w:rFonts w:ascii="Arial" w:hAnsi="Arial" w:cs="Arial"/>
          <w:sz w:val="20"/>
        </w:rPr>
        <w:t>CoM</w:t>
      </w:r>
      <w:proofErr w:type="spellEnd"/>
      <w:r w:rsidR="003B29C3" w:rsidRPr="003B29C3">
        <w:rPr>
          <w:rFonts w:ascii="Arial" w:hAnsi="Arial" w:cs="Arial"/>
          <w:sz w:val="20"/>
        </w:rPr>
        <w:t>)</w:t>
      </w:r>
      <w:r w:rsidR="003B29C3">
        <w:rPr>
          <w:rFonts w:ascii="Arial" w:hAnsi="Arial" w:cs="Arial"/>
          <w:sz w:val="20"/>
        </w:rPr>
        <w:t>, (dále jen „</w:t>
      </w:r>
      <w:r w:rsidR="003B29C3" w:rsidRPr="003B29C3">
        <w:rPr>
          <w:rFonts w:ascii="Arial" w:hAnsi="Arial" w:cs="Arial"/>
          <w:b/>
          <w:sz w:val="20"/>
        </w:rPr>
        <w:t>Dílo</w:t>
      </w:r>
      <w:r w:rsidR="003B29C3">
        <w:rPr>
          <w:rFonts w:ascii="Arial" w:hAnsi="Arial" w:cs="Arial"/>
          <w:sz w:val="20"/>
        </w:rPr>
        <w:t>“)</w:t>
      </w:r>
      <w:r w:rsidR="003B29C3" w:rsidRPr="003B29C3">
        <w:rPr>
          <w:rFonts w:ascii="Arial" w:hAnsi="Arial" w:cs="Arial"/>
          <w:sz w:val="20"/>
        </w:rPr>
        <w:t xml:space="preserve"> </w:t>
      </w:r>
      <w:r w:rsidRPr="003B29C3">
        <w:rPr>
          <w:rFonts w:ascii="Arial" w:hAnsi="Arial" w:cs="Arial"/>
          <w:sz w:val="20"/>
        </w:rPr>
        <w:t xml:space="preserve">a provedení všech dalších souvisejících činností nutných k úplnému řádnému dokončení </w:t>
      </w:r>
      <w:r w:rsidR="003B29C3">
        <w:rPr>
          <w:rFonts w:ascii="Arial" w:hAnsi="Arial" w:cs="Arial"/>
          <w:sz w:val="20"/>
        </w:rPr>
        <w:t>D</w:t>
      </w:r>
      <w:r w:rsidRPr="003B29C3">
        <w:rPr>
          <w:rFonts w:ascii="Arial" w:hAnsi="Arial" w:cs="Arial"/>
          <w:sz w:val="20"/>
        </w:rPr>
        <w:t xml:space="preserve">íla ze strany Zhotovitele pro Objednatele. </w:t>
      </w:r>
    </w:p>
    <w:p w:rsidR="00C8551F" w:rsidRPr="001007EF" w:rsidRDefault="00C8551F" w:rsidP="002A1D9C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 w:rsidRPr="001007EF">
        <w:rPr>
          <w:rFonts w:ascii="Arial" w:hAnsi="Arial" w:cs="Arial"/>
        </w:rPr>
        <w:lastRenderedPageBreak/>
        <w:t>PŘEDMĚT SMLOUVY</w:t>
      </w:r>
    </w:p>
    <w:p w:rsidR="00F110CD" w:rsidRPr="007F4AC7" w:rsidRDefault="00F110CD" w:rsidP="002A1D9C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7F4AC7">
        <w:rPr>
          <w:rFonts w:ascii="Arial" w:hAnsi="Arial" w:cs="Arial"/>
          <w:sz w:val="20"/>
        </w:rPr>
        <w:t>Předmětem Smlouvy je závazek Zhotovitele provést pro Objednatele na vlastní nebezpečí a</w:t>
      </w:r>
      <w:r w:rsidR="007064CF">
        <w:rPr>
          <w:rFonts w:ascii="Arial" w:hAnsi="Arial" w:cs="Arial"/>
          <w:sz w:val="20"/>
        </w:rPr>
        <w:t> </w:t>
      </w:r>
      <w:r w:rsidRPr="007F4AC7">
        <w:rPr>
          <w:rFonts w:ascii="Arial" w:hAnsi="Arial" w:cs="Arial"/>
          <w:sz w:val="20"/>
        </w:rPr>
        <w:t xml:space="preserve">vlastní odpovědnost </w:t>
      </w:r>
      <w:r w:rsidR="003B29C3">
        <w:rPr>
          <w:rFonts w:ascii="Arial" w:hAnsi="Arial" w:cs="Arial"/>
          <w:sz w:val="20"/>
        </w:rPr>
        <w:t>D</w:t>
      </w:r>
      <w:r w:rsidRPr="007F4AC7">
        <w:rPr>
          <w:rFonts w:ascii="Arial" w:hAnsi="Arial" w:cs="Arial"/>
          <w:sz w:val="20"/>
        </w:rPr>
        <w:t>ílo za podmínek stanovených Smlouvou a v rozsahu stanoveném níže v čl.</w:t>
      </w:r>
      <w:r w:rsidR="00B86B51">
        <w:rPr>
          <w:rFonts w:ascii="Arial" w:hAnsi="Arial" w:cs="Arial"/>
          <w:sz w:val="20"/>
        </w:rPr>
        <w:t> </w:t>
      </w:r>
      <w:r w:rsidR="00011A6B">
        <w:rPr>
          <w:rFonts w:ascii="Arial" w:hAnsi="Arial" w:cs="Arial"/>
          <w:sz w:val="20"/>
        </w:rPr>
        <w:t xml:space="preserve">2.2 </w:t>
      </w:r>
      <w:r w:rsidRPr="007F4AC7">
        <w:rPr>
          <w:rFonts w:ascii="Arial" w:hAnsi="Arial" w:cs="Arial"/>
          <w:sz w:val="20"/>
        </w:rPr>
        <w:t xml:space="preserve">Smlouvy. </w:t>
      </w:r>
    </w:p>
    <w:p w:rsidR="005D6C87" w:rsidRPr="003B29C3" w:rsidRDefault="00C8551F" w:rsidP="003B29C3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bookmarkStart w:id="0" w:name="_Ref308168908"/>
      <w:r w:rsidRPr="003B29C3">
        <w:rPr>
          <w:rFonts w:ascii="Arial" w:hAnsi="Arial" w:cs="Arial"/>
          <w:sz w:val="20"/>
        </w:rPr>
        <w:t>Zhotovitel se zavazuje provést Dílo dle této Smlouvy a v rozsahu detailně specifikovaném zejména v</w:t>
      </w:r>
      <w:r w:rsidR="003B29C3" w:rsidRPr="003B29C3">
        <w:rPr>
          <w:rFonts w:ascii="Arial" w:hAnsi="Arial" w:cs="Arial"/>
          <w:sz w:val="20"/>
        </w:rPr>
        <w:t xml:space="preserve"> </w:t>
      </w:r>
      <w:bookmarkEnd w:id="0"/>
      <w:r w:rsidRPr="003B29C3">
        <w:rPr>
          <w:rFonts w:ascii="Arial" w:hAnsi="Arial" w:cs="Arial"/>
          <w:sz w:val="20"/>
        </w:rPr>
        <w:t>příloze</w:t>
      </w:r>
      <w:r w:rsidR="00F110CD" w:rsidRPr="003B29C3">
        <w:rPr>
          <w:rFonts w:ascii="Arial" w:hAnsi="Arial" w:cs="Arial"/>
          <w:sz w:val="20"/>
        </w:rPr>
        <w:t xml:space="preserve"> </w:t>
      </w:r>
      <w:r w:rsidRPr="003B29C3">
        <w:rPr>
          <w:rFonts w:ascii="Arial" w:hAnsi="Arial" w:cs="Arial"/>
          <w:sz w:val="20"/>
        </w:rPr>
        <w:t xml:space="preserve">č. 1 Smlouvy – </w:t>
      </w:r>
      <w:r w:rsidR="003B29C3" w:rsidRPr="003B29C3">
        <w:rPr>
          <w:rFonts w:ascii="Arial" w:hAnsi="Arial" w:cs="Arial"/>
          <w:sz w:val="20"/>
        </w:rPr>
        <w:t>Metodika a postup zpracování SECAP</w:t>
      </w:r>
      <w:r w:rsidR="00A57997">
        <w:rPr>
          <w:rFonts w:ascii="Arial" w:hAnsi="Arial" w:cs="Arial"/>
          <w:sz w:val="20"/>
        </w:rPr>
        <w:t xml:space="preserve"> – oblast doprava</w:t>
      </w:r>
      <w:r w:rsidR="00A94295" w:rsidRPr="003B29C3">
        <w:rPr>
          <w:rFonts w:ascii="Arial" w:hAnsi="Arial" w:cs="Arial"/>
          <w:sz w:val="20"/>
        </w:rPr>
        <w:t>;</w:t>
      </w:r>
    </w:p>
    <w:p w:rsidR="00C8551F" w:rsidRPr="001007EF" w:rsidRDefault="00C8551F" w:rsidP="00DB7000">
      <w:pPr>
        <w:pStyle w:val="Nadpis2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 xml:space="preserve">Objednatel se zavazuje zaplatit Zhotoviteli za Dílo cenu v souladu a způsobem dle </w:t>
      </w:r>
      <w:proofErr w:type="gramStart"/>
      <w:r w:rsidRPr="001007EF">
        <w:rPr>
          <w:rFonts w:ascii="Arial" w:hAnsi="Arial" w:cs="Arial"/>
          <w:sz w:val="20"/>
        </w:rPr>
        <w:t xml:space="preserve">čl. </w:t>
      </w:r>
      <w:r w:rsidRPr="001007EF">
        <w:rPr>
          <w:rFonts w:ascii="Arial" w:hAnsi="Arial" w:cs="Arial"/>
          <w:sz w:val="20"/>
        </w:rPr>
        <w:fldChar w:fldCharType="begin"/>
      </w:r>
      <w:r w:rsidRPr="001007EF">
        <w:rPr>
          <w:rFonts w:ascii="Arial" w:hAnsi="Arial" w:cs="Arial"/>
          <w:sz w:val="20"/>
        </w:rPr>
        <w:instrText xml:space="preserve"> REF _Ref308523191 \r \h </w:instrText>
      </w:r>
      <w:r w:rsidR="001007EF">
        <w:rPr>
          <w:rFonts w:ascii="Arial" w:hAnsi="Arial" w:cs="Arial"/>
          <w:sz w:val="20"/>
        </w:rPr>
        <w:instrText xml:space="preserve"> \* MERGEFORMAT </w:instrText>
      </w:r>
      <w:r w:rsidRPr="001007EF">
        <w:rPr>
          <w:rFonts w:ascii="Arial" w:hAnsi="Arial" w:cs="Arial"/>
          <w:sz w:val="20"/>
        </w:rPr>
      </w:r>
      <w:r w:rsidRPr="001007EF">
        <w:rPr>
          <w:rFonts w:ascii="Arial" w:hAnsi="Arial" w:cs="Arial"/>
          <w:sz w:val="20"/>
        </w:rPr>
        <w:fldChar w:fldCharType="separate"/>
      </w:r>
      <w:r w:rsidR="00572DEE">
        <w:rPr>
          <w:rFonts w:ascii="Arial" w:hAnsi="Arial" w:cs="Arial"/>
          <w:sz w:val="20"/>
        </w:rPr>
        <w:t>4.2</w:t>
      </w:r>
      <w:r w:rsidRPr="001007EF">
        <w:rPr>
          <w:rFonts w:ascii="Arial" w:hAnsi="Arial" w:cs="Arial"/>
          <w:sz w:val="20"/>
        </w:rPr>
        <w:fldChar w:fldCharType="end"/>
      </w:r>
      <w:r w:rsidRPr="001007EF">
        <w:rPr>
          <w:rFonts w:ascii="Arial" w:hAnsi="Arial" w:cs="Arial"/>
          <w:sz w:val="20"/>
        </w:rPr>
        <w:t xml:space="preserve"> Smlouvy</w:t>
      </w:r>
      <w:proofErr w:type="gramEnd"/>
      <w:r w:rsidRPr="001007EF">
        <w:rPr>
          <w:rFonts w:ascii="Arial" w:hAnsi="Arial" w:cs="Arial"/>
          <w:sz w:val="20"/>
        </w:rPr>
        <w:t>.</w:t>
      </w:r>
    </w:p>
    <w:p w:rsidR="00C8551F" w:rsidRPr="001007EF" w:rsidRDefault="00C8551F" w:rsidP="00572DEE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 w:rsidRPr="001007EF">
        <w:rPr>
          <w:rFonts w:ascii="Arial" w:hAnsi="Arial" w:cs="Arial"/>
        </w:rPr>
        <w:t>OPRÁVNĚNÉ OSOBY</w:t>
      </w:r>
    </w:p>
    <w:p w:rsidR="00DB7000" w:rsidRPr="004F509A" w:rsidRDefault="00DB7000" w:rsidP="00DB7000">
      <w:pPr>
        <w:pStyle w:val="Nadpis2"/>
        <w:numPr>
          <w:ilvl w:val="1"/>
          <w:numId w:val="16"/>
        </w:numPr>
        <w:spacing w:line="260" w:lineRule="atLeast"/>
        <w:ind w:left="709" w:hanging="709"/>
        <w:rPr>
          <w:rFonts w:ascii="Arial" w:hAnsi="Arial" w:cs="Arial"/>
          <w:sz w:val="20"/>
        </w:rPr>
      </w:pPr>
      <w:r w:rsidRPr="004F509A">
        <w:rPr>
          <w:rFonts w:ascii="Arial" w:hAnsi="Arial" w:cs="Arial"/>
          <w:sz w:val="20"/>
        </w:rPr>
        <w:t>Každá ze Smluvních stran jmenovala oprávněné osoby, které budou zastupovat Smluvní stranu v technických, fakturačních a ostatních záležitostech souvisejících s plněním Smlouvy.</w:t>
      </w:r>
    </w:p>
    <w:p w:rsidR="00DB7000" w:rsidRPr="004F509A" w:rsidRDefault="00DB7000" w:rsidP="00951FEA">
      <w:pPr>
        <w:pStyle w:val="Nadpis2"/>
        <w:keepNext/>
        <w:numPr>
          <w:ilvl w:val="1"/>
          <w:numId w:val="16"/>
        </w:numPr>
        <w:spacing w:after="0" w:line="260" w:lineRule="atLeast"/>
        <w:ind w:left="709" w:hanging="709"/>
        <w:rPr>
          <w:rFonts w:ascii="Arial" w:hAnsi="Arial" w:cs="Arial"/>
          <w:sz w:val="20"/>
        </w:rPr>
      </w:pPr>
      <w:r w:rsidRPr="004F509A">
        <w:rPr>
          <w:rFonts w:ascii="Arial" w:hAnsi="Arial" w:cs="Arial"/>
          <w:sz w:val="20"/>
        </w:rPr>
        <w:t>Oprávněná osoba Objednatele je</w:t>
      </w:r>
      <w:r w:rsidR="00C10B0C">
        <w:rPr>
          <w:rFonts w:ascii="Arial" w:hAnsi="Arial" w:cs="Arial"/>
          <w:sz w:val="20"/>
        </w:rPr>
        <w:t xml:space="preserve"> </w:t>
      </w:r>
      <w:proofErr w:type="spellStart"/>
      <w:r w:rsidR="00C10B0C">
        <w:rPr>
          <w:rFonts w:ascii="Arial" w:hAnsi="Arial" w:cs="Arial"/>
          <w:sz w:val="20"/>
        </w:rPr>
        <w:t>xxxxxxxxxxxxxxxxxxxxxxxxx</w:t>
      </w:r>
      <w:proofErr w:type="spellEnd"/>
      <w:r w:rsidRPr="004F509A">
        <w:rPr>
          <w:rFonts w:ascii="Arial" w:hAnsi="Arial" w:cs="Arial"/>
          <w:sz w:val="20"/>
        </w:rPr>
        <w:t>:</w:t>
      </w:r>
    </w:p>
    <w:p w:rsidR="00A57997" w:rsidRPr="004F509A" w:rsidRDefault="00A57997" w:rsidP="00A57997">
      <w:pPr>
        <w:pStyle w:val="Nadpis3"/>
        <w:numPr>
          <w:ilvl w:val="0"/>
          <w:numId w:val="0"/>
        </w:numPr>
        <w:spacing w:after="0" w:line="260" w:lineRule="atLeast"/>
        <w:ind w:left="1418"/>
        <w:rPr>
          <w:rFonts w:ascii="Arial" w:hAnsi="Arial" w:cs="Arial"/>
          <w:sz w:val="20"/>
        </w:rPr>
      </w:pPr>
      <w:r w:rsidRPr="004F509A">
        <w:rPr>
          <w:rFonts w:ascii="Arial" w:hAnsi="Arial" w:cs="Arial"/>
          <w:sz w:val="20"/>
        </w:rPr>
        <w:t>tel.:</w:t>
      </w:r>
      <w:r w:rsidRPr="004F509A">
        <w:rPr>
          <w:rFonts w:ascii="Arial" w:hAnsi="Arial" w:cs="Arial"/>
          <w:sz w:val="20"/>
        </w:rPr>
        <w:tab/>
      </w:r>
      <w:proofErr w:type="spellStart"/>
      <w:r w:rsidR="00C10B0C">
        <w:rPr>
          <w:rFonts w:ascii="Arial" w:hAnsi="Arial" w:cs="Arial"/>
          <w:sz w:val="20"/>
        </w:rPr>
        <w:t>xxxxxxxxxxxxxxxxxxx</w:t>
      </w:r>
      <w:proofErr w:type="spellEnd"/>
    </w:p>
    <w:p w:rsidR="00A57997" w:rsidRPr="004F509A" w:rsidRDefault="00A57997" w:rsidP="00A57997">
      <w:pPr>
        <w:pStyle w:val="Nadpis3"/>
        <w:numPr>
          <w:ilvl w:val="0"/>
          <w:numId w:val="0"/>
        </w:numPr>
        <w:spacing w:after="0" w:line="260" w:lineRule="atLeast"/>
        <w:ind w:left="1418"/>
        <w:rPr>
          <w:rFonts w:ascii="Arial" w:hAnsi="Arial" w:cs="Arial"/>
          <w:sz w:val="20"/>
        </w:rPr>
      </w:pPr>
      <w:r w:rsidRPr="004F509A">
        <w:rPr>
          <w:rFonts w:ascii="Arial" w:hAnsi="Arial" w:cs="Arial"/>
          <w:sz w:val="20"/>
        </w:rPr>
        <w:t>e-mail:</w:t>
      </w:r>
      <w:r w:rsidRPr="004F509A">
        <w:rPr>
          <w:rFonts w:ascii="Arial" w:hAnsi="Arial" w:cs="Arial"/>
          <w:sz w:val="20"/>
        </w:rPr>
        <w:tab/>
      </w:r>
      <w:proofErr w:type="spellStart"/>
      <w:r w:rsidR="00C10B0C">
        <w:rPr>
          <w:rFonts w:ascii="Arial" w:hAnsi="Arial" w:cs="Arial"/>
          <w:sz w:val="20"/>
        </w:rPr>
        <w:t>xxxxxxxxxxxxxxxxxxxxxxxxxxx</w:t>
      </w:r>
      <w:proofErr w:type="spellEnd"/>
    </w:p>
    <w:p w:rsidR="00A57997" w:rsidRPr="004F509A" w:rsidRDefault="00A57997" w:rsidP="00A57997">
      <w:pPr>
        <w:pStyle w:val="Nadpis3"/>
        <w:numPr>
          <w:ilvl w:val="0"/>
          <w:numId w:val="0"/>
        </w:numPr>
        <w:spacing w:line="260" w:lineRule="atLeast"/>
        <w:ind w:left="1418"/>
        <w:rPr>
          <w:rFonts w:ascii="Arial" w:hAnsi="Arial" w:cs="Arial"/>
          <w:sz w:val="20"/>
        </w:rPr>
      </w:pPr>
      <w:r w:rsidRPr="004F509A">
        <w:rPr>
          <w:rFonts w:ascii="Arial" w:hAnsi="Arial" w:cs="Arial"/>
          <w:sz w:val="20"/>
        </w:rPr>
        <w:t>adresa:</w:t>
      </w:r>
      <w:r w:rsidRPr="004F509A">
        <w:rPr>
          <w:rFonts w:ascii="Arial" w:hAnsi="Arial" w:cs="Arial"/>
          <w:sz w:val="20"/>
        </w:rPr>
        <w:tab/>
        <w:t>Dykova 53/10, Praha 10 - Vinohrady, 101 00</w:t>
      </w:r>
    </w:p>
    <w:p w:rsidR="00DB7000" w:rsidRPr="004F509A" w:rsidRDefault="00DB7000" w:rsidP="00951FEA">
      <w:pPr>
        <w:pStyle w:val="Nadpis2"/>
        <w:numPr>
          <w:ilvl w:val="1"/>
          <w:numId w:val="16"/>
        </w:numPr>
        <w:spacing w:after="0" w:line="260" w:lineRule="atLeast"/>
        <w:ind w:left="709" w:hanging="709"/>
        <w:rPr>
          <w:rFonts w:ascii="Arial" w:hAnsi="Arial" w:cs="Arial"/>
          <w:sz w:val="20"/>
        </w:rPr>
      </w:pPr>
      <w:r w:rsidRPr="004F509A">
        <w:rPr>
          <w:rFonts w:ascii="Arial" w:hAnsi="Arial" w:cs="Arial"/>
          <w:sz w:val="20"/>
        </w:rPr>
        <w:t>Oprávněná osoba Zhotovitele je:</w:t>
      </w:r>
    </w:p>
    <w:p w:rsidR="00DB7000" w:rsidRPr="004F509A" w:rsidRDefault="00DB7000" w:rsidP="006977A5">
      <w:pPr>
        <w:pStyle w:val="Nadpis2"/>
        <w:numPr>
          <w:ilvl w:val="2"/>
          <w:numId w:val="16"/>
        </w:numPr>
        <w:spacing w:after="0" w:line="260" w:lineRule="atLeast"/>
        <w:rPr>
          <w:rFonts w:ascii="Arial" w:hAnsi="Arial" w:cs="Arial"/>
          <w:sz w:val="20"/>
        </w:rPr>
      </w:pPr>
      <w:r w:rsidRPr="004F509A">
        <w:rPr>
          <w:rFonts w:ascii="Arial" w:hAnsi="Arial" w:cs="Arial"/>
          <w:sz w:val="20"/>
        </w:rPr>
        <w:t xml:space="preserve">ve </w:t>
      </w:r>
      <w:r w:rsidR="00F8743F" w:rsidRPr="004F509A">
        <w:rPr>
          <w:rFonts w:ascii="Arial" w:hAnsi="Arial" w:cs="Arial"/>
          <w:sz w:val="20"/>
        </w:rPr>
        <w:t>věcech smluvních</w:t>
      </w:r>
      <w:r w:rsidR="00C10B0C">
        <w:rPr>
          <w:rFonts w:ascii="Arial" w:hAnsi="Arial" w:cs="Arial"/>
          <w:sz w:val="20"/>
        </w:rPr>
        <w:t xml:space="preserve"> </w:t>
      </w:r>
      <w:proofErr w:type="spellStart"/>
      <w:r w:rsidR="00C10B0C">
        <w:rPr>
          <w:rFonts w:ascii="Arial" w:hAnsi="Arial" w:cs="Arial"/>
          <w:sz w:val="20"/>
        </w:rPr>
        <w:t>xxxxxxxxxxxxxxxxxxxxx</w:t>
      </w:r>
      <w:proofErr w:type="spellEnd"/>
      <w:r w:rsidR="00A57997" w:rsidRPr="004F509A">
        <w:rPr>
          <w:rFonts w:ascii="Arial" w:hAnsi="Arial" w:cs="Arial"/>
          <w:sz w:val="20"/>
        </w:rPr>
        <w:t xml:space="preserve">, ředitel </w:t>
      </w:r>
      <w:r w:rsidR="006977A5" w:rsidRPr="006977A5">
        <w:rPr>
          <w:rFonts w:ascii="Arial" w:hAnsi="Arial" w:cs="Arial"/>
          <w:sz w:val="20"/>
        </w:rPr>
        <w:t>Útvar</w:t>
      </w:r>
      <w:r w:rsidR="006977A5">
        <w:rPr>
          <w:rFonts w:ascii="Arial" w:hAnsi="Arial" w:cs="Arial"/>
          <w:sz w:val="20"/>
        </w:rPr>
        <w:t>u</w:t>
      </w:r>
      <w:r w:rsidR="006977A5" w:rsidRPr="006977A5">
        <w:rPr>
          <w:rFonts w:ascii="Arial" w:hAnsi="Arial" w:cs="Arial"/>
          <w:sz w:val="20"/>
        </w:rPr>
        <w:t xml:space="preserve"> grantové kanceláře a transferu technologií</w:t>
      </w:r>
    </w:p>
    <w:p w:rsidR="00DB7000" w:rsidRPr="004F509A" w:rsidRDefault="00DB7000" w:rsidP="00A37C39">
      <w:pPr>
        <w:spacing w:after="120"/>
        <w:ind w:left="1418"/>
        <w:contextualSpacing/>
        <w:rPr>
          <w:rFonts w:ascii="Arial" w:hAnsi="Arial" w:cs="Arial"/>
          <w:sz w:val="20"/>
          <w:szCs w:val="20"/>
        </w:rPr>
      </w:pPr>
      <w:r w:rsidRPr="004F509A">
        <w:rPr>
          <w:rFonts w:ascii="Arial" w:hAnsi="Arial" w:cs="Arial"/>
          <w:sz w:val="20"/>
          <w:szCs w:val="20"/>
        </w:rPr>
        <w:t xml:space="preserve">tel.: </w:t>
      </w:r>
      <w:r w:rsidRPr="004F509A">
        <w:rPr>
          <w:rFonts w:ascii="Arial" w:hAnsi="Arial" w:cs="Arial"/>
          <w:sz w:val="20"/>
          <w:szCs w:val="20"/>
        </w:rPr>
        <w:tab/>
      </w:r>
      <w:proofErr w:type="spellStart"/>
      <w:r w:rsidR="00C10B0C">
        <w:rPr>
          <w:rFonts w:ascii="Arial" w:hAnsi="Arial" w:cs="Arial"/>
          <w:sz w:val="20"/>
          <w:szCs w:val="20"/>
        </w:rPr>
        <w:t>xxxxxxxxxxxxxxxxxxx</w:t>
      </w:r>
      <w:proofErr w:type="spellEnd"/>
    </w:p>
    <w:p w:rsidR="009D1148" w:rsidRPr="004F509A" w:rsidRDefault="00DB7000" w:rsidP="00A37C39">
      <w:pPr>
        <w:spacing w:after="120"/>
        <w:ind w:left="1418"/>
        <w:contextualSpacing/>
        <w:rPr>
          <w:rFonts w:ascii="Arial" w:hAnsi="Arial" w:cs="Arial"/>
          <w:sz w:val="20"/>
          <w:szCs w:val="20"/>
        </w:rPr>
      </w:pPr>
      <w:r w:rsidRPr="004F509A">
        <w:rPr>
          <w:rFonts w:ascii="Arial" w:hAnsi="Arial" w:cs="Arial"/>
          <w:sz w:val="20"/>
          <w:szCs w:val="20"/>
        </w:rPr>
        <w:t xml:space="preserve">e-mail: </w:t>
      </w:r>
      <w:r w:rsidRPr="004F509A">
        <w:rPr>
          <w:rFonts w:ascii="Arial" w:hAnsi="Arial" w:cs="Arial"/>
          <w:sz w:val="20"/>
          <w:szCs w:val="20"/>
        </w:rPr>
        <w:tab/>
      </w:r>
      <w:proofErr w:type="spellStart"/>
      <w:r w:rsidR="00C10B0C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DB7000" w:rsidRPr="004F509A" w:rsidRDefault="00DB7000" w:rsidP="00A37C39">
      <w:pPr>
        <w:spacing w:after="120"/>
        <w:ind w:left="1418"/>
        <w:contextualSpacing/>
        <w:rPr>
          <w:rFonts w:ascii="Arial" w:hAnsi="Arial" w:cs="Arial"/>
          <w:sz w:val="20"/>
          <w:szCs w:val="20"/>
        </w:rPr>
      </w:pPr>
      <w:r w:rsidRPr="004F509A">
        <w:rPr>
          <w:rFonts w:ascii="Arial" w:hAnsi="Arial" w:cs="Arial"/>
          <w:sz w:val="20"/>
          <w:szCs w:val="20"/>
        </w:rPr>
        <w:t xml:space="preserve">adresa: </w:t>
      </w:r>
      <w:r w:rsidRPr="004F509A">
        <w:rPr>
          <w:rFonts w:ascii="Arial" w:hAnsi="Arial" w:cs="Arial"/>
          <w:sz w:val="20"/>
          <w:szCs w:val="20"/>
        </w:rPr>
        <w:tab/>
      </w:r>
      <w:r w:rsidR="00951FEA" w:rsidRPr="004F509A">
        <w:rPr>
          <w:rFonts w:ascii="Arial" w:hAnsi="Arial" w:cs="Arial"/>
          <w:sz w:val="20"/>
          <w:szCs w:val="20"/>
        </w:rPr>
        <w:t>Centrum dopravního výzkumu, v. v. i., Líšeňská 33a, 636 00 Brno</w:t>
      </w:r>
    </w:p>
    <w:p w:rsidR="004F509A" w:rsidRPr="004F509A" w:rsidRDefault="00DB7000" w:rsidP="00951FEA">
      <w:pPr>
        <w:pStyle w:val="Nadpis2"/>
        <w:numPr>
          <w:ilvl w:val="2"/>
          <w:numId w:val="16"/>
        </w:numPr>
        <w:spacing w:after="0" w:line="260" w:lineRule="atLeast"/>
        <w:rPr>
          <w:rFonts w:ascii="Arial" w:hAnsi="Arial" w:cs="Arial"/>
          <w:sz w:val="20"/>
        </w:rPr>
      </w:pPr>
      <w:r w:rsidRPr="004F509A">
        <w:rPr>
          <w:rFonts w:ascii="Arial" w:hAnsi="Arial" w:cs="Arial"/>
          <w:sz w:val="20"/>
        </w:rPr>
        <w:t xml:space="preserve">ve funkci </w:t>
      </w:r>
      <w:r w:rsidR="00F8743F" w:rsidRPr="004F509A">
        <w:rPr>
          <w:rFonts w:ascii="Arial" w:hAnsi="Arial" w:cs="Arial"/>
          <w:sz w:val="20"/>
        </w:rPr>
        <w:t xml:space="preserve">specialista na oblast dopravy ve městech </w:t>
      </w:r>
    </w:p>
    <w:p w:rsidR="00DB7000" w:rsidRPr="004F509A" w:rsidRDefault="00C10B0C" w:rsidP="00C914A0">
      <w:pPr>
        <w:pStyle w:val="Nadpis2"/>
        <w:numPr>
          <w:ilvl w:val="0"/>
          <w:numId w:val="0"/>
        </w:numPr>
        <w:spacing w:after="0" w:line="260" w:lineRule="atLeast"/>
        <w:ind w:left="1420" w:firstLine="7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xxxxxxxxxxxxxxxxxxxxxx</w:t>
      </w:r>
      <w:proofErr w:type="spellEnd"/>
    </w:p>
    <w:p w:rsidR="00DB7000" w:rsidRPr="004F509A" w:rsidRDefault="00DB7000" w:rsidP="00DB7000">
      <w:pPr>
        <w:spacing w:after="120"/>
        <w:ind w:left="1418"/>
        <w:contextualSpacing/>
        <w:rPr>
          <w:rFonts w:ascii="Arial" w:hAnsi="Arial" w:cs="Arial"/>
          <w:sz w:val="20"/>
          <w:szCs w:val="20"/>
        </w:rPr>
      </w:pPr>
      <w:r w:rsidRPr="004F509A">
        <w:rPr>
          <w:rFonts w:ascii="Arial" w:hAnsi="Arial" w:cs="Arial"/>
          <w:sz w:val="20"/>
          <w:szCs w:val="20"/>
        </w:rPr>
        <w:t xml:space="preserve">tel.: </w:t>
      </w:r>
      <w:r w:rsidRPr="004F509A">
        <w:rPr>
          <w:rFonts w:ascii="Arial" w:hAnsi="Arial" w:cs="Arial"/>
          <w:sz w:val="20"/>
          <w:szCs w:val="20"/>
        </w:rPr>
        <w:tab/>
      </w:r>
      <w:r w:rsidR="003312D5" w:rsidRPr="004F509A">
        <w:rPr>
          <w:rFonts w:ascii="Arial" w:hAnsi="Arial" w:cs="Arial"/>
          <w:sz w:val="20"/>
          <w:szCs w:val="20"/>
        </w:rPr>
        <w:t xml:space="preserve">+420 </w:t>
      </w:r>
      <w:r w:rsidR="009D1148" w:rsidRPr="004F509A">
        <w:rPr>
          <w:rFonts w:ascii="Arial" w:hAnsi="Arial" w:cs="Arial"/>
          <w:sz w:val="20"/>
          <w:szCs w:val="20"/>
        </w:rPr>
        <w:t xml:space="preserve">541 641 </w:t>
      </w:r>
      <w:r w:rsidR="00F415DD" w:rsidRPr="004F509A">
        <w:rPr>
          <w:rFonts w:ascii="Arial" w:hAnsi="Arial" w:cs="Arial"/>
          <w:sz w:val="20"/>
          <w:szCs w:val="20"/>
        </w:rPr>
        <w:t>711</w:t>
      </w:r>
    </w:p>
    <w:p w:rsidR="009D1148" w:rsidRPr="004F509A" w:rsidRDefault="00DB7000" w:rsidP="00DB7000">
      <w:pPr>
        <w:spacing w:after="120"/>
        <w:ind w:left="1418"/>
        <w:contextualSpacing/>
        <w:rPr>
          <w:rStyle w:val="Hypertextovodkaz"/>
          <w:rFonts w:ascii="Arial" w:hAnsi="Arial" w:cs="Arial"/>
          <w:sz w:val="20"/>
          <w:szCs w:val="20"/>
        </w:rPr>
      </w:pPr>
      <w:r w:rsidRPr="004F509A">
        <w:rPr>
          <w:rFonts w:ascii="Arial" w:hAnsi="Arial" w:cs="Arial"/>
          <w:sz w:val="20"/>
          <w:szCs w:val="20"/>
        </w:rPr>
        <w:t xml:space="preserve">e-mail: </w:t>
      </w:r>
      <w:r w:rsidRPr="004F509A">
        <w:rPr>
          <w:rFonts w:ascii="Arial" w:hAnsi="Arial" w:cs="Arial"/>
          <w:sz w:val="20"/>
          <w:szCs w:val="20"/>
        </w:rPr>
        <w:tab/>
      </w:r>
      <w:proofErr w:type="spellStart"/>
      <w:r w:rsidR="00C10B0C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C8551F" w:rsidRPr="00EE7922" w:rsidRDefault="00EE7922" w:rsidP="00A37C39">
      <w:pPr>
        <w:pStyle w:val="Nadpis2"/>
        <w:numPr>
          <w:ilvl w:val="1"/>
          <w:numId w:val="16"/>
        </w:numPr>
        <w:spacing w:line="260" w:lineRule="atLeast"/>
        <w:ind w:left="709" w:hanging="709"/>
        <w:rPr>
          <w:rFonts w:ascii="Arial" w:hAnsi="Arial" w:cs="Arial"/>
          <w:sz w:val="20"/>
        </w:rPr>
      </w:pPr>
      <w:r w:rsidRPr="007064CF">
        <w:rPr>
          <w:rFonts w:ascii="Arial" w:hAnsi="Arial" w:cs="Arial"/>
          <w:sz w:val="20"/>
        </w:rPr>
        <w:t xml:space="preserve">Smluvní strany </w:t>
      </w:r>
      <w:r w:rsidR="00A37C39" w:rsidRPr="007064CF">
        <w:rPr>
          <w:rFonts w:ascii="Arial" w:hAnsi="Arial" w:cs="Arial"/>
          <w:sz w:val="20"/>
        </w:rPr>
        <w:t>mohou změnit oprávněné osoby; jsou však povinny na takovou změnu alespoň 5 (pět) dnů předem písemně upozornit druhou Smluvní stranu, je-li to objektivně možné, jinak ihned po provedení změny</w:t>
      </w:r>
      <w:r w:rsidRPr="007064CF">
        <w:rPr>
          <w:rFonts w:ascii="Arial" w:hAnsi="Arial" w:cs="Arial"/>
          <w:sz w:val="20"/>
        </w:rPr>
        <w:t xml:space="preserve">. </w:t>
      </w:r>
    </w:p>
    <w:p w:rsidR="00C8551F" w:rsidRPr="001007EF" w:rsidRDefault="00C8551F" w:rsidP="00572DEE">
      <w:pPr>
        <w:pStyle w:val="Nadpis1"/>
        <w:keepNext w:val="0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 w:rsidRPr="001007EF">
        <w:rPr>
          <w:rFonts w:ascii="Arial" w:hAnsi="Arial" w:cs="Arial"/>
        </w:rPr>
        <w:t>MÍSTO A DOBA PLNĚNÍ</w:t>
      </w:r>
      <w:r w:rsidR="00011754">
        <w:rPr>
          <w:rFonts w:ascii="Arial" w:hAnsi="Arial" w:cs="Arial"/>
        </w:rPr>
        <w:t>, způsob předání</w:t>
      </w:r>
    </w:p>
    <w:p w:rsidR="00EE7922" w:rsidRDefault="00011754" w:rsidP="005D6C87">
      <w:pPr>
        <w:pStyle w:val="Nadpis2"/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Místem plnění je město </w:t>
      </w:r>
      <w:r w:rsidR="007274C4">
        <w:rPr>
          <w:rFonts w:ascii="Arial" w:hAnsi="Arial" w:cs="Arial"/>
          <w:sz w:val="20"/>
        </w:rPr>
        <w:t>Brno</w:t>
      </w:r>
      <w:r w:rsidR="004C3B69" w:rsidRPr="001007EF">
        <w:rPr>
          <w:rFonts w:ascii="Arial" w:hAnsi="Arial" w:cs="Arial"/>
          <w:sz w:val="20"/>
        </w:rPr>
        <w:t>.</w:t>
      </w:r>
    </w:p>
    <w:p w:rsidR="00011754" w:rsidRPr="00811629" w:rsidRDefault="00011754" w:rsidP="005D6C87">
      <w:pPr>
        <w:pStyle w:val="Nadpis2"/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bookmarkStart w:id="1" w:name="_Ref308523191"/>
      <w:r w:rsidRPr="00811629">
        <w:rPr>
          <w:rFonts w:ascii="Arial" w:hAnsi="Arial" w:cs="Arial"/>
          <w:sz w:val="20"/>
        </w:rPr>
        <w:t xml:space="preserve">Zhotovitel se zavazuje zahájit provádění Díla nejpozději do </w:t>
      </w:r>
      <w:r w:rsidR="00A37C39">
        <w:rPr>
          <w:rFonts w:ascii="Arial" w:hAnsi="Arial" w:cs="Arial"/>
          <w:sz w:val="20"/>
        </w:rPr>
        <w:t>3</w:t>
      </w:r>
      <w:r w:rsidRPr="008E5AA0">
        <w:rPr>
          <w:rFonts w:ascii="Arial" w:hAnsi="Arial" w:cs="Arial"/>
          <w:sz w:val="20"/>
        </w:rPr>
        <w:t xml:space="preserve"> </w:t>
      </w:r>
      <w:r w:rsidRPr="00811629">
        <w:rPr>
          <w:rFonts w:ascii="Arial" w:hAnsi="Arial" w:cs="Arial"/>
          <w:sz w:val="20"/>
        </w:rPr>
        <w:t>pracovních dnů ode dne účinnosti Smlouvy.</w:t>
      </w:r>
    </w:p>
    <w:p w:rsidR="00011754" w:rsidRPr="00811629" w:rsidRDefault="00011754" w:rsidP="005D6C87">
      <w:pPr>
        <w:pStyle w:val="Nadpis2"/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bookmarkStart w:id="2" w:name="_Ref308178789"/>
      <w:r w:rsidRPr="00811629">
        <w:rPr>
          <w:rFonts w:ascii="Arial" w:hAnsi="Arial" w:cs="Arial"/>
          <w:sz w:val="20"/>
        </w:rPr>
        <w:t>Zhotovitel se zavazuje jednotlivé činnosti Díla provádět v termínech uvedených v Harmonogramu realizace veřejné zakázky (dále jen „</w:t>
      </w:r>
      <w:r w:rsidRPr="002A1D9C">
        <w:rPr>
          <w:rFonts w:ascii="Arial" w:hAnsi="Arial" w:cs="Arial"/>
          <w:b/>
          <w:sz w:val="20"/>
        </w:rPr>
        <w:t>Harmonogram</w:t>
      </w:r>
      <w:r w:rsidRPr="00811629">
        <w:rPr>
          <w:rFonts w:ascii="Arial" w:hAnsi="Arial" w:cs="Arial"/>
          <w:sz w:val="20"/>
        </w:rPr>
        <w:t xml:space="preserve">“), který je </w:t>
      </w:r>
      <w:r w:rsidR="00E57235">
        <w:rPr>
          <w:rFonts w:ascii="Arial" w:hAnsi="Arial" w:cs="Arial"/>
          <w:sz w:val="20"/>
        </w:rPr>
        <w:t>Přílohou 2 Smlouvy</w:t>
      </w:r>
      <w:r w:rsidRPr="00811629">
        <w:rPr>
          <w:rFonts w:ascii="Arial" w:hAnsi="Arial" w:cs="Arial"/>
          <w:sz w:val="20"/>
        </w:rPr>
        <w:t>, nestanoví-li Objednatel jinak.</w:t>
      </w:r>
      <w:bookmarkEnd w:id="2"/>
    </w:p>
    <w:p w:rsidR="00011754" w:rsidRDefault="00011754" w:rsidP="005D6C87">
      <w:pPr>
        <w:pStyle w:val="Nadpis2"/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sz w:val="20"/>
        </w:rPr>
        <w:t>se zavazuje</w:t>
      </w:r>
      <w:r w:rsidRPr="001007EF">
        <w:rPr>
          <w:rFonts w:ascii="Arial" w:hAnsi="Arial" w:cs="Arial"/>
          <w:sz w:val="20"/>
        </w:rPr>
        <w:t xml:space="preserve"> dokončit a ř</w:t>
      </w:r>
      <w:r w:rsidR="00A94295">
        <w:rPr>
          <w:rFonts w:ascii="Arial" w:hAnsi="Arial" w:cs="Arial"/>
          <w:sz w:val="20"/>
        </w:rPr>
        <w:t>ádně provést Dílo nejpozději v </w:t>
      </w:r>
      <w:r w:rsidRPr="001007EF">
        <w:rPr>
          <w:rFonts w:ascii="Arial" w:hAnsi="Arial" w:cs="Arial"/>
          <w:sz w:val="20"/>
        </w:rPr>
        <w:t>termínu stanoveném v Harmonogramu</w:t>
      </w:r>
      <w:r w:rsidR="008F6143">
        <w:rPr>
          <w:rFonts w:ascii="Arial" w:hAnsi="Arial" w:cs="Arial"/>
          <w:sz w:val="20"/>
        </w:rPr>
        <w:t xml:space="preserve">, tj. do </w:t>
      </w:r>
      <w:r w:rsidR="00761D61">
        <w:rPr>
          <w:rFonts w:ascii="Arial" w:hAnsi="Arial" w:cs="Arial"/>
          <w:sz w:val="20"/>
        </w:rPr>
        <w:t>31</w:t>
      </w:r>
      <w:r w:rsidR="003312D5">
        <w:rPr>
          <w:rFonts w:ascii="Arial" w:hAnsi="Arial" w:cs="Arial"/>
          <w:color w:val="000000" w:themeColor="text1"/>
          <w:sz w:val="20"/>
        </w:rPr>
        <w:t>.</w:t>
      </w:r>
      <w:r w:rsidR="00FD20C6">
        <w:rPr>
          <w:rFonts w:ascii="Arial" w:hAnsi="Arial" w:cs="Arial"/>
          <w:color w:val="000000" w:themeColor="text1"/>
          <w:sz w:val="20"/>
        </w:rPr>
        <w:t xml:space="preserve"> </w:t>
      </w:r>
      <w:r w:rsidR="00761D61">
        <w:rPr>
          <w:rFonts w:ascii="Arial" w:hAnsi="Arial" w:cs="Arial"/>
          <w:color w:val="000000" w:themeColor="text1"/>
          <w:sz w:val="20"/>
        </w:rPr>
        <w:t>12</w:t>
      </w:r>
      <w:r w:rsidR="008F6143">
        <w:rPr>
          <w:rFonts w:ascii="Arial" w:hAnsi="Arial" w:cs="Arial"/>
          <w:color w:val="000000" w:themeColor="text1"/>
          <w:sz w:val="20"/>
        </w:rPr>
        <w:t xml:space="preserve">. </w:t>
      </w:r>
      <w:r w:rsidR="00761D61">
        <w:rPr>
          <w:rFonts w:ascii="Arial" w:hAnsi="Arial" w:cs="Arial"/>
          <w:color w:val="000000" w:themeColor="text1"/>
          <w:sz w:val="20"/>
        </w:rPr>
        <w:t>2019</w:t>
      </w:r>
      <w:r>
        <w:rPr>
          <w:rFonts w:ascii="Arial" w:hAnsi="Arial" w:cs="Arial"/>
          <w:sz w:val="20"/>
        </w:rPr>
        <w:t>.</w:t>
      </w:r>
    </w:p>
    <w:p w:rsidR="00E57235" w:rsidRDefault="00E57235" w:rsidP="00E57235">
      <w:pPr>
        <w:pStyle w:val="Nadpis2"/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 w:rsidRPr="00E57235">
        <w:rPr>
          <w:rFonts w:ascii="Arial" w:hAnsi="Arial" w:cs="Arial"/>
          <w:sz w:val="20"/>
        </w:rPr>
        <w:t xml:space="preserve">Vypořádání připomínek </w:t>
      </w:r>
      <w:proofErr w:type="spellStart"/>
      <w:r w:rsidRPr="00E57235">
        <w:rPr>
          <w:rFonts w:ascii="Arial" w:hAnsi="Arial" w:cs="Arial"/>
          <w:sz w:val="20"/>
        </w:rPr>
        <w:t>CoM</w:t>
      </w:r>
      <w:proofErr w:type="spellEnd"/>
      <w:r w:rsidRPr="00E57235">
        <w:rPr>
          <w:rFonts w:ascii="Arial" w:hAnsi="Arial" w:cs="Arial"/>
          <w:sz w:val="20"/>
        </w:rPr>
        <w:t xml:space="preserve"> (viz bod </w:t>
      </w:r>
      <w:proofErr w:type="spellStart"/>
      <w:r w:rsidRPr="00E57235">
        <w:rPr>
          <w:rFonts w:ascii="Arial" w:hAnsi="Arial" w:cs="Arial"/>
          <w:sz w:val="20"/>
        </w:rPr>
        <w:t>iv</w:t>
      </w:r>
      <w:proofErr w:type="spellEnd"/>
      <w:r w:rsidRPr="00E57235">
        <w:rPr>
          <w:rFonts w:ascii="Arial" w:hAnsi="Arial" w:cs="Arial"/>
          <w:sz w:val="20"/>
        </w:rPr>
        <w:t xml:space="preserve">. přílohy č. 1 – Metodika postup zpracování SECAP) v souladu a rozsahem stanoveným metodikou iniciativy Paktu starostů a primátorů bude Zhotovitelem zajištěno po termínu dokončení Díla. Důvodem je skutečnost, že Zhotovitel není schopen zajistit včasné doručení připomínek od Kanceláře </w:t>
      </w:r>
      <w:proofErr w:type="spellStart"/>
      <w:r w:rsidRPr="00E57235">
        <w:rPr>
          <w:rFonts w:ascii="Arial" w:hAnsi="Arial" w:cs="Arial"/>
          <w:sz w:val="20"/>
        </w:rPr>
        <w:t>CoM</w:t>
      </w:r>
      <w:proofErr w:type="spellEnd"/>
      <w:r w:rsidRPr="00E57235">
        <w:rPr>
          <w:rFonts w:ascii="Arial" w:hAnsi="Arial" w:cs="Arial"/>
          <w:sz w:val="20"/>
        </w:rPr>
        <w:t xml:space="preserve">. O vypořádání připomínek bude sepsán zápis o vypořádání připomínek </w:t>
      </w:r>
      <w:proofErr w:type="spellStart"/>
      <w:r w:rsidRPr="00E57235">
        <w:rPr>
          <w:rFonts w:ascii="Arial" w:hAnsi="Arial" w:cs="Arial"/>
          <w:sz w:val="20"/>
        </w:rPr>
        <w:t>CoM</w:t>
      </w:r>
      <w:proofErr w:type="spellEnd"/>
      <w:r w:rsidRPr="00E57235">
        <w:rPr>
          <w:rFonts w:ascii="Arial" w:hAnsi="Arial" w:cs="Arial"/>
          <w:sz w:val="20"/>
        </w:rPr>
        <w:t xml:space="preserve">.  </w:t>
      </w:r>
    </w:p>
    <w:p w:rsidR="00011754" w:rsidRDefault="00011754" w:rsidP="005D6C87">
      <w:pPr>
        <w:pStyle w:val="Nadpis2"/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lastRenderedPageBreak/>
        <w:t>Dílo je řádně Zhotovitelem Objednateli předáno a Objednatelem převzato</w:t>
      </w:r>
      <w:r>
        <w:rPr>
          <w:rFonts w:ascii="Arial" w:hAnsi="Arial" w:cs="Arial"/>
          <w:sz w:val="20"/>
        </w:rPr>
        <w:t xml:space="preserve"> </w:t>
      </w:r>
      <w:r w:rsidRPr="005574E0">
        <w:rPr>
          <w:rFonts w:ascii="Arial" w:hAnsi="Arial" w:cs="Arial"/>
          <w:sz w:val="20"/>
        </w:rPr>
        <w:t>podpisem zápisu</w:t>
      </w:r>
      <w:r>
        <w:rPr>
          <w:rFonts w:ascii="Arial" w:hAnsi="Arial" w:cs="Arial"/>
          <w:sz w:val="20"/>
        </w:rPr>
        <w:t>/protokolu</w:t>
      </w:r>
      <w:r w:rsidRPr="005574E0">
        <w:rPr>
          <w:rFonts w:ascii="Arial" w:hAnsi="Arial" w:cs="Arial"/>
          <w:sz w:val="20"/>
        </w:rPr>
        <w:t xml:space="preserve"> o předání a převzetí Díla oběma Smluvními stranami stanovící, že Dílo je bez jakýchkoliv vad a nedodělků</w:t>
      </w:r>
      <w:r>
        <w:rPr>
          <w:rFonts w:ascii="Arial" w:hAnsi="Arial" w:cs="Arial"/>
          <w:sz w:val="20"/>
        </w:rPr>
        <w:t xml:space="preserve">. </w:t>
      </w:r>
    </w:p>
    <w:p w:rsidR="00011754" w:rsidRDefault="00011754" w:rsidP="005D6C87">
      <w:pPr>
        <w:pStyle w:val="Nadpis2"/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5574E0">
        <w:rPr>
          <w:rFonts w:ascii="Arial" w:hAnsi="Arial" w:cs="Arial"/>
          <w:sz w:val="20"/>
        </w:rPr>
        <w:t> případě, že zápis</w:t>
      </w:r>
      <w:r>
        <w:rPr>
          <w:rFonts w:ascii="Arial" w:hAnsi="Arial" w:cs="Arial"/>
          <w:sz w:val="20"/>
        </w:rPr>
        <w:t>/protokol</w:t>
      </w:r>
      <w:r w:rsidRPr="005574E0">
        <w:rPr>
          <w:rFonts w:ascii="Arial" w:hAnsi="Arial" w:cs="Arial"/>
          <w:sz w:val="20"/>
        </w:rPr>
        <w:t xml:space="preserve"> o předání a převzetí Díla obsahuje záznam o vadách a</w:t>
      </w:r>
      <w:r>
        <w:rPr>
          <w:rFonts w:ascii="Arial" w:hAnsi="Arial" w:cs="Arial"/>
          <w:sz w:val="20"/>
        </w:rPr>
        <w:t> </w:t>
      </w:r>
      <w:r w:rsidRPr="005574E0">
        <w:rPr>
          <w:rFonts w:ascii="Arial" w:hAnsi="Arial" w:cs="Arial"/>
          <w:sz w:val="20"/>
        </w:rPr>
        <w:t>nedoděl</w:t>
      </w:r>
      <w:r>
        <w:rPr>
          <w:rFonts w:ascii="Arial" w:hAnsi="Arial" w:cs="Arial"/>
          <w:sz w:val="20"/>
        </w:rPr>
        <w:t>cí</w:t>
      </w:r>
      <w:r w:rsidRPr="005574E0">
        <w:rPr>
          <w:rFonts w:ascii="Arial" w:hAnsi="Arial" w:cs="Arial"/>
          <w:sz w:val="20"/>
        </w:rPr>
        <w:t>ch, tak vystavením písemného potvrzení o tom, že vady a</w:t>
      </w:r>
      <w:r>
        <w:rPr>
          <w:rFonts w:ascii="Arial" w:hAnsi="Arial" w:cs="Arial"/>
          <w:sz w:val="20"/>
        </w:rPr>
        <w:t> </w:t>
      </w:r>
      <w:r w:rsidRPr="005574E0">
        <w:rPr>
          <w:rFonts w:ascii="Arial" w:hAnsi="Arial" w:cs="Arial"/>
          <w:sz w:val="20"/>
        </w:rPr>
        <w:t>nedodělky dle zápisu</w:t>
      </w:r>
      <w:r>
        <w:rPr>
          <w:rFonts w:ascii="Arial" w:hAnsi="Arial" w:cs="Arial"/>
          <w:sz w:val="20"/>
        </w:rPr>
        <w:t>/protokolu</w:t>
      </w:r>
      <w:r w:rsidRPr="005574E0">
        <w:rPr>
          <w:rFonts w:ascii="Arial" w:hAnsi="Arial" w:cs="Arial"/>
          <w:sz w:val="20"/>
        </w:rPr>
        <w:t xml:space="preserve"> o předání a převzetí Díla byly odstraněny</w:t>
      </w:r>
      <w:r>
        <w:rPr>
          <w:rFonts w:ascii="Arial" w:hAnsi="Arial" w:cs="Arial"/>
          <w:sz w:val="20"/>
        </w:rPr>
        <w:t xml:space="preserve">. </w:t>
      </w:r>
    </w:p>
    <w:p w:rsidR="00F41E26" w:rsidRPr="00F41E26" w:rsidRDefault="00011754" w:rsidP="005D6C87">
      <w:pPr>
        <w:pStyle w:val="Nadpis2"/>
        <w:numPr>
          <w:ilvl w:val="1"/>
          <w:numId w:val="12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Místem předání výstupů Díla (zejména předání veškerých dokumentů) je sídlo Objednatele</w:t>
      </w:r>
      <w:r w:rsidR="002A1D9C">
        <w:rPr>
          <w:rFonts w:ascii="Arial" w:hAnsi="Arial" w:cs="Arial"/>
          <w:sz w:val="20"/>
        </w:rPr>
        <w:t>.</w:t>
      </w:r>
    </w:p>
    <w:p w:rsidR="00C8551F" w:rsidRPr="001007EF" w:rsidRDefault="00C8551F" w:rsidP="005D6C87">
      <w:pPr>
        <w:pStyle w:val="Nadpis1"/>
        <w:keepNext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 w:rsidRPr="001007EF">
        <w:rPr>
          <w:rFonts w:ascii="Arial" w:hAnsi="Arial" w:cs="Arial"/>
        </w:rPr>
        <w:t>CENA DÍLA A PLATBY</w:t>
      </w:r>
      <w:bookmarkEnd w:id="1"/>
    </w:p>
    <w:p w:rsidR="0055164A" w:rsidRPr="002A1D9C" w:rsidRDefault="00C8551F" w:rsidP="005D6C87">
      <w:pPr>
        <w:pStyle w:val="Nadpis2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>Cena Díla je stanovena na zákl</w:t>
      </w:r>
      <w:r w:rsidR="00425FBA">
        <w:rPr>
          <w:rFonts w:ascii="Arial" w:hAnsi="Arial" w:cs="Arial"/>
          <w:sz w:val="20"/>
        </w:rPr>
        <w:t xml:space="preserve">adě </w:t>
      </w:r>
      <w:r w:rsidR="00C65A7F">
        <w:rPr>
          <w:rFonts w:ascii="Arial" w:hAnsi="Arial" w:cs="Arial"/>
          <w:sz w:val="20"/>
        </w:rPr>
        <w:t>S</w:t>
      </w:r>
      <w:r w:rsidR="00425FBA">
        <w:rPr>
          <w:rFonts w:ascii="Arial" w:hAnsi="Arial" w:cs="Arial"/>
          <w:sz w:val="20"/>
        </w:rPr>
        <w:t xml:space="preserve">pecifikace předmětu plnění </w:t>
      </w:r>
      <w:r w:rsidR="00C65A7F">
        <w:rPr>
          <w:rFonts w:ascii="Arial" w:hAnsi="Arial" w:cs="Arial"/>
          <w:sz w:val="20"/>
        </w:rPr>
        <w:t>(</w:t>
      </w:r>
      <w:r w:rsidR="00425FBA">
        <w:rPr>
          <w:rFonts w:ascii="Arial" w:hAnsi="Arial" w:cs="Arial"/>
          <w:sz w:val="20"/>
        </w:rPr>
        <w:t>p</w:t>
      </w:r>
      <w:r w:rsidRPr="001007EF">
        <w:rPr>
          <w:rFonts w:ascii="Arial" w:hAnsi="Arial" w:cs="Arial"/>
          <w:sz w:val="20"/>
        </w:rPr>
        <w:t>říloh</w:t>
      </w:r>
      <w:r w:rsidR="00C65A7F">
        <w:rPr>
          <w:rFonts w:ascii="Arial" w:hAnsi="Arial" w:cs="Arial"/>
          <w:sz w:val="20"/>
        </w:rPr>
        <w:t>a</w:t>
      </w:r>
      <w:r w:rsidRPr="001007EF">
        <w:rPr>
          <w:rFonts w:ascii="Arial" w:hAnsi="Arial" w:cs="Arial"/>
          <w:sz w:val="20"/>
        </w:rPr>
        <w:t xml:space="preserve"> č. 1</w:t>
      </w:r>
      <w:r w:rsidR="00C65A7F">
        <w:rPr>
          <w:rFonts w:ascii="Arial" w:hAnsi="Arial" w:cs="Arial"/>
          <w:sz w:val="20"/>
        </w:rPr>
        <w:t>)</w:t>
      </w:r>
      <w:r w:rsidRPr="001007EF">
        <w:rPr>
          <w:rFonts w:ascii="Arial" w:hAnsi="Arial" w:cs="Arial"/>
          <w:sz w:val="20"/>
        </w:rPr>
        <w:t xml:space="preserve"> </w:t>
      </w:r>
      <w:r w:rsidR="00425FBA">
        <w:rPr>
          <w:rFonts w:ascii="Arial" w:hAnsi="Arial" w:cs="Arial"/>
          <w:sz w:val="20"/>
        </w:rPr>
        <w:t>a </w:t>
      </w:r>
      <w:r w:rsidR="00425FBA" w:rsidRPr="00282CC3">
        <w:rPr>
          <w:rFonts w:ascii="Arial" w:hAnsi="Arial" w:cs="Arial"/>
          <w:sz w:val="20"/>
        </w:rPr>
        <w:t xml:space="preserve">činí </w:t>
      </w:r>
    </w:p>
    <w:p w:rsidR="0055164A" w:rsidRPr="0055164A" w:rsidRDefault="0055164A" w:rsidP="00951FEA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Arial" w:hAnsi="Arial" w:cs="Arial"/>
          <w:color w:val="000000" w:themeColor="text1"/>
          <w:sz w:val="20"/>
        </w:rPr>
      </w:pPr>
      <w:r w:rsidRPr="0055164A">
        <w:rPr>
          <w:rFonts w:ascii="Arial" w:hAnsi="Arial" w:cs="Arial"/>
          <w:color w:val="000000" w:themeColor="text1"/>
          <w:sz w:val="20"/>
        </w:rPr>
        <w:t>cena v Kč bez DPH:</w:t>
      </w:r>
      <w:r w:rsidRPr="0055164A"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 xml:space="preserve">    </w:t>
      </w:r>
      <w:r w:rsidR="00AA11C1">
        <w:rPr>
          <w:rFonts w:ascii="Arial" w:hAnsi="Arial" w:cs="Arial"/>
          <w:color w:val="000000" w:themeColor="text1"/>
          <w:sz w:val="20"/>
        </w:rPr>
        <w:t>1</w:t>
      </w:r>
      <w:r w:rsidR="007274C4">
        <w:rPr>
          <w:rFonts w:ascii="Arial" w:hAnsi="Arial" w:cs="Arial"/>
          <w:color w:val="000000" w:themeColor="text1"/>
          <w:sz w:val="20"/>
        </w:rPr>
        <w:t>5</w:t>
      </w:r>
      <w:r w:rsidR="00AA11C1">
        <w:rPr>
          <w:rFonts w:ascii="Arial" w:hAnsi="Arial" w:cs="Arial"/>
          <w:color w:val="000000" w:themeColor="text1"/>
          <w:sz w:val="20"/>
        </w:rPr>
        <w:t>0 000</w:t>
      </w:r>
      <w:r w:rsidR="003312D5">
        <w:rPr>
          <w:rFonts w:ascii="Arial" w:hAnsi="Arial" w:cs="Arial"/>
          <w:color w:val="000000" w:themeColor="text1"/>
          <w:sz w:val="20"/>
        </w:rPr>
        <w:t>,- Kč</w:t>
      </w:r>
    </w:p>
    <w:p w:rsidR="0055164A" w:rsidRPr="0055164A" w:rsidRDefault="0055164A" w:rsidP="00951FEA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Arial" w:hAnsi="Arial" w:cs="Arial"/>
          <w:color w:val="000000" w:themeColor="text1"/>
          <w:sz w:val="20"/>
        </w:rPr>
      </w:pPr>
      <w:r w:rsidRPr="0055164A">
        <w:rPr>
          <w:rFonts w:ascii="Arial" w:hAnsi="Arial" w:cs="Arial"/>
          <w:color w:val="000000" w:themeColor="text1"/>
          <w:sz w:val="20"/>
        </w:rPr>
        <w:t xml:space="preserve">DPH ve výši </w:t>
      </w:r>
      <w:r w:rsidR="003312D5">
        <w:rPr>
          <w:rFonts w:ascii="Arial" w:hAnsi="Arial" w:cs="Arial"/>
          <w:color w:val="000000" w:themeColor="text1"/>
          <w:sz w:val="20"/>
        </w:rPr>
        <w:t xml:space="preserve">21 </w:t>
      </w:r>
      <w:r w:rsidRPr="0055164A">
        <w:rPr>
          <w:rFonts w:ascii="Arial" w:hAnsi="Arial" w:cs="Arial"/>
          <w:color w:val="000000" w:themeColor="text1"/>
          <w:sz w:val="20"/>
        </w:rPr>
        <w:t xml:space="preserve">%: </w:t>
      </w:r>
      <w:r w:rsidRPr="0055164A"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 xml:space="preserve">    </w:t>
      </w:r>
      <w:r w:rsidR="00AA11C1">
        <w:rPr>
          <w:rFonts w:ascii="Arial" w:hAnsi="Arial" w:cs="Arial"/>
          <w:color w:val="000000" w:themeColor="text1"/>
          <w:sz w:val="20"/>
        </w:rPr>
        <w:t xml:space="preserve">  </w:t>
      </w:r>
      <w:r w:rsidR="007274C4" w:rsidRPr="007274C4">
        <w:rPr>
          <w:rFonts w:ascii="Arial" w:hAnsi="Arial" w:cs="Arial"/>
          <w:color w:val="000000" w:themeColor="text1"/>
          <w:sz w:val="20"/>
        </w:rPr>
        <w:t>31</w:t>
      </w:r>
      <w:r w:rsidR="007274C4">
        <w:rPr>
          <w:rFonts w:ascii="Arial" w:hAnsi="Arial" w:cs="Arial"/>
          <w:color w:val="000000" w:themeColor="text1"/>
          <w:sz w:val="20"/>
        </w:rPr>
        <w:t xml:space="preserve"> </w:t>
      </w:r>
      <w:r w:rsidR="007274C4" w:rsidRPr="007274C4">
        <w:rPr>
          <w:rFonts w:ascii="Arial" w:hAnsi="Arial" w:cs="Arial"/>
          <w:color w:val="000000" w:themeColor="text1"/>
          <w:sz w:val="20"/>
        </w:rPr>
        <w:t>500</w:t>
      </w:r>
      <w:r w:rsidR="003312D5">
        <w:rPr>
          <w:rFonts w:ascii="Arial" w:hAnsi="Arial" w:cs="Arial"/>
          <w:color w:val="000000" w:themeColor="text1"/>
          <w:sz w:val="20"/>
        </w:rPr>
        <w:t>,- Kč</w:t>
      </w:r>
    </w:p>
    <w:p w:rsidR="0055164A" w:rsidRPr="0055164A" w:rsidRDefault="0055164A" w:rsidP="00951FEA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Arial" w:hAnsi="Arial" w:cs="Arial"/>
          <w:color w:val="000000" w:themeColor="text1"/>
          <w:sz w:val="20"/>
        </w:rPr>
      </w:pPr>
      <w:r w:rsidRPr="0055164A">
        <w:rPr>
          <w:rFonts w:ascii="Arial" w:hAnsi="Arial" w:cs="Arial"/>
          <w:color w:val="000000" w:themeColor="text1"/>
          <w:sz w:val="20"/>
        </w:rPr>
        <w:t>cena v Kč včetně DPH:</w:t>
      </w:r>
      <w:r>
        <w:rPr>
          <w:rFonts w:ascii="Arial" w:hAnsi="Arial" w:cs="Arial"/>
          <w:color w:val="000000" w:themeColor="text1"/>
          <w:sz w:val="20"/>
        </w:rPr>
        <w:t xml:space="preserve">  </w:t>
      </w:r>
      <w:r w:rsidR="00AA11C1">
        <w:rPr>
          <w:rFonts w:ascii="Arial" w:hAnsi="Arial" w:cs="Arial"/>
          <w:color w:val="000000" w:themeColor="text1"/>
          <w:sz w:val="20"/>
        </w:rPr>
        <w:t xml:space="preserve"> </w:t>
      </w:r>
      <w:r w:rsidR="007274C4" w:rsidRPr="007274C4">
        <w:rPr>
          <w:rFonts w:ascii="Arial" w:hAnsi="Arial" w:cs="Arial"/>
          <w:color w:val="000000" w:themeColor="text1"/>
          <w:sz w:val="20"/>
        </w:rPr>
        <w:t>181</w:t>
      </w:r>
      <w:r w:rsidR="007274C4">
        <w:rPr>
          <w:rFonts w:ascii="Arial" w:hAnsi="Arial" w:cs="Arial"/>
          <w:color w:val="000000" w:themeColor="text1"/>
          <w:sz w:val="20"/>
        </w:rPr>
        <w:t xml:space="preserve"> </w:t>
      </w:r>
      <w:r w:rsidR="007274C4" w:rsidRPr="007274C4">
        <w:rPr>
          <w:rFonts w:ascii="Arial" w:hAnsi="Arial" w:cs="Arial"/>
          <w:color w:val="000000" w:themeColor="text1"/>
          <w:sz w:val="20"/>
        </w:rPr>
        <w:t>500</w:t>
      </w:r>
      <w:r w:rsidR="003312D5">
        <w:rPr>
          <w:rFonts w:ascii="Arial" w:hAnsi="Arial" w:cs="Arial"/>
          <w:color w:val="000000" w:themeColor="text1"/>
          <w:sz w:val="20"/>
        </w:rPr>
        <w:t>,- Kč</w:t>
      </w:r>
    </w:p>
    <w:p w:rsidR="0055164A" w:rsidRPr="0055164A" w:rsidRDefault="0055164A" w:rsidP="00951FEA">
      <w:pPr>
        <w:pStyle w:val="Nadpis2"/>
        <w:numPr>
          <w:ilvl w:val="0"/>
          <w:numId w:val="0"/>
        </w:numPr>
        <w:shd w:val="clear" w:color="auto" w:fill="FFFFFF" w:themeFill="background1"/>
        <w:spacing w:line="260" w:lineRule="atLeast"/>
        <w:ind w:left="1418"/>
        <w:rPr>
          <w:rFonts w:ascii="Arial" w:hAnsi="Arial" w:cs="Arial"/>
          <w:color w:val="000000" w:themeColor="text1"/>
          <w:sz w:val="20"/>
        </w:rPr>
      </w:pPr>
      <w:r w:rsidRPr="0055164A">
        <w:rPr>
          <w:rFonts w:ascii="Arial" w:hAnsi="Arial" w:cs="Arial"/>
          <w:color w:val="000000" w:themeColor="text1"/>
          <w:sz w:val="20"/>
        </w:rPr>
        <w:t>slovy:</w:t>
      </w:r>
      <w:r w:rsidRPr="0055164A">
        <w:rPr>
          <w:rFonts w:ascii="Arial" w:hAnsi="Arial" w:cs="Arial"/>
          <w:color w:val="000000" w:themeColor="text1"/>
          <w:sz w:val="20"/>
        </w:rPr>
        <w:tab/>
      </w:r>
      <w:r w:rsidRPr="0055164A"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 xml:space="preserve">    </w:t>
      </w:r>
      <w:r w:rsidR="00AA11C1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7274C4">
        <w:rPr>
          <w:rFonts w:ascii="Arial" w:hAnsi="Arial" w:cs="Arial"/>
          <w:color w:val="000000" w:themeColor="text1"/>
          <w:sz w:val="20"/>
        </w:rPr>
        <w:t>Stoosmdesátjednatisícpětset</w:t>
      </w:r>
      <w:r w:rsidR="00AA11C1">
        <w:rPr>
          <w:rFonts w:ascii="Arial" w:hAnsi="Arial" w:cs="Arial"/>
          <w:color w:val="000000" w:themeColor="text1"/>
          <w:sz w:val="20"/>
        </w:rPr>
        <w:t>korunčeských</w:t>
      </w:r>
      <w:proofErr w:type="spellEnd"/>
      <w:r w:rsidR="00CD2D00">
        <w:rPr>
          <w:rFonts w:ascii="Arial" w:hAnsi="Arial" w:cs="Arial"/>
          <w:color w:val="000000" w:themeColor="text1"/>
          <w:sz w:val="20"/>
        </w:rPr>
        <w:tab/>
      </w:r>
    </w:p>
    <w:p w:rsidR="00EE7922" w:rsidRPr="00F41E26" w:rsidRDefault="00C8551F" w:rsidP="005D6C87">
      <w:pPr>
        <w:pStyle w:val="Nadpis2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F41E26">
        <w:rPr>
          <w:rFonts w:ascii="Arial" w:hAnsi="Arial" w:cs="Arial"/>
          <w:sz w:val="20"/>
        </w:rPr>
        <w:t>Cena Díla, je cenou smluvní, pevnou a neměnnou (dále jen „</w:t>
      </w:r>
      <w:r w:rsidRPr="002A1D9C">
        <w:rPr>
          <w:rFonts w:ascii="Arial" w:hAnsi="Arial" w:cs="Arial"/>
          <w:b/>
          <w:sz w:val="20"/>
        </w:rPr>
        <w:t>Cena</w:t>
      </w:r>
      <w:r w:rsidRPr="00F41E26">
        <w:rPr>
          <w:rFonts w:ascii="Arial" w:hAnsi="Arial" w:cs="Arial"/>
          <w:sz w:val="20"/>
        </w:rPr>
        <w:t>“).</w:t>
      </w:r>
      <w:r w:rsidR="00F41E26" w:rsidRPr="00F41E26">
        <w:rPr>
          <w:rFonts w:ascii="Arial" w:hAnsi="Arial" w:cs="Arial"/>
          <w:sz w:val="20"/>
        </w:rPr>
        <w:t xml:space="preserve"> </w:t>
      </w:r>
    </w:p>
    <w:p w:rsidR="006A68F1" w:rsidRPr="007F4AC7" w:rsidRDefault="006A68F1" w:rsidP="005D6C87">
      <w:pPr>
        <w:pStyle w:val="Nadpis2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sjednávají, že </w:t>
      </w:r>
      <w:r w:rsidRPr="00E3501D"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sz w:val="20"/>
        </w:rPr>
        <w:t>nemá právo na</w:t>
      </w:r>
      <w:r w:rsidRPr="007F4AC7">
        <w:rPr>
          <w:rFonts w:ascii="Arial" w:hAnsi="Arial" w:cs="Arial"/>
          <w:sz w:val="20"/>
        </w:rPr>
        <w:t xml:space="preserve"> zálohové platby. </w:t>
      </w:r>
    </w:p>
    <w:p w:rsidR="00093D75" w:rsidRPr="00093D75" w:rsidRDefault="00093D75" w:rsidP="00093D75">
      <w:pPr>
        <w:pStyle w:val="Nadpis2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 w:rsidRPr="00093D75">
        <w:rPr>
          <w:rFonts w:ascii="Arial" w:hAnsi="Arial" w:cs="Arial"/>
          <w:sz w:val="20"/>
        </w:rPr>
        <w:t>Smluvní strany sjednávají, že platba ceny za Dílo bude provedena po ukončení a předání Díla</w:t>
      </w:r>
      <w:r>
        <w:rPr>
          <w:rFonts w:ascii="Arial" w:hAnsi="Arial" w:cs="Arial"/>
          <w:sz w:val="20"/>
        </w:rPr>
        <w:t xml:space="preserve"> dle čl. 4.5</w:t>
      </w:r>
      <w:r w:rsidRPr="00093D75">
        <w:rPr>
          <w:rFonts w:ascii="Arial" w:hAnsi="Arial" w:cs="Arial"/>
          <w:sz w:val="20"/>
        </w:rPr>
        <w:t xml:space="preserve"> jednou splátkou.</w:t>
      </w:r>
      <w:r>
        <w:rPr>
          <w:rFonts w:ascii="Arial" w:hAnsi="Arial" w:cs="Arial"/>
          <w:sz w:val="20"/>
        </w:rPr>
        <w:t xml:space="preserve"> </w:t>
      </w:r>
      <w:r w:rsidRPr="00093D75">
        <w:rPr>
          <w:rFonts w:ascii="Arial" w:hAnsi="Arial" w:cs="Arial"/>
          <w:sz w:val="20"/>
        </w:rPr>
        <w:t>Nedílnou součástí faktury bude zápis o předání a převzetí Díla oběma Smluvními stranami stanovící, že Dílo je bez jakýchkoliv vad a nedodělků</w:t>
      </w:r>
    </w:p>
    <w:p w:rsidR="00EE7922" w:rsidRPr="007F4AC7" w:rsidRDefault="00371F4C" w:rsidP="00093D75">
      <w:pPr>
        <w:pStyle w:val="Nadpis2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EE7922" w:rsidRPr="007F4AC7">
        <w:rPr>
          <w:rFonts w:ascii="Arial" w:hAnsi="Arial" w:cs="Arial"/>
          <w:sz w:val="20"/>
        </w:rPr>
        <w:t>aktury musí být doručen</w:t>
      </w:r>
      <w:r w:rsidR="006A68F1">
        <w:rPr>
          <w:rFonts w:ascii="Arial" w:hAnsi="Arial" w:cs="Arial"/>
          <w:sz w:val="20"/>
        </w:rPr>
        <w:t>y</w:t>
      </w:r>
      <w:r w:rsidR="00EE7922" w:rsidRPr="007F4AC7">
        <w:rPr>
          <w:rFonts w:ascii="Arial" w:hAnsi="Arial" w:cs="Arial"/>
          <w:sz w:val="20"/>
        </w:rPr>
        <w:t xml:space="preserve"> Objednateli a mít náležitosti daňového dokladu </w:t>
      </w:r>
      <w:r w:rsidR="00EE7922">
        <w:rPr>
          <w:rFonts w:ascii="Arial" w:hAnsi="Arial" w:cs="Arial"/>
          <w:sz w:val="20"/>
        </w:rPr>
        <w:t xml:space="preserve">a obchodní listiny </w:t>
      </w:r>
      <w:r w:rsidR="00EE7922" w:rsidRPr="007F4AC7">
        <w:rPr>
          <w:rFonts w:ascii="Arial" w:hAnsi="Arial" w:cs="Arial"/>
          <w:sz w:val="20"/>
        </w:rPr>
        <w:t xml:space="preserve">dle příslušných právních předpisů včetně vyčísleného DPH v zákonné výši. </w:t>
      </w:r>
      <w:r w:rsidR="00EE7922">
        <w:rPr>
          <w:rFonts w:ascii="Arial" w:hAnsi="Arial" w:cs="Arial"/>
          <w:sz w:val="20"/>
        </w:rPr>
        <w:t>Zhotovitel předkládá faktur</w:t>
      </w:r>
      <w:r>
        <w:rPr>
          <w:rFonts w:ascii="Arial" w:hAnsi="Arial" w:cs="Arial"/>
          <w:sz w:val="20"/>
        </w:rPr>
        <w:t>u</w:t>
      </w:r>
      <w:r w:rsidR="002A1D9C">
        <w:rPr>
          <w:rFonts w:ascii="Arial" w:hAnsi="Arial" w:cs="Arial"/>
          <w:sz w:val="20"/>
        </w:rPr>
        <w:t xml:space="preserve">, včetně jejich příloh, ve 2 </w:t>
      </w:r>
      <w:r w:rsidR="00EE7922">
        <w:rPr>
          <w:rFonts w:ascii="Arial" w:hAnsi="Arial" w:cs="Arial"/>
          <w:sz w:val="20"/>
        </w:rPr>
        <w:t xml:space="preserve">vyhotoveních. </w:t>
      </w:r>
      <w:r w:rsidR="00EE7922" w:rsidRPr="007F4AC7">
        <w:rPr>
          <w:rFonts w:ascii="Arial" w:hAnsi="Arial" w:cs="Arial"/>
          <w:sz w:val="20"/>
        </w:rPr>
        <w:t xml:space="preserve">Nebude-li mít faktura příslušné náležitosti, je Objednatel oprávněn fakturu vrátit; v takovém případě nebude v prodlení s jejím zaplacením. </w:t>
      </w:r>
    </w:p>
    <w:p w:rsidR="00C8551F" w:rsidRPr="001007EF" w:rsidRDefault="00EE7922" w:rsidP="005D6C87">
      <w:pPr>
        <w:pStyle w:val="Nadpis2"/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Pr="007F4AC7">
        <w:rPr>
          <w:rFonts w:ascii="Arial" w:hAnsi="Arial" w:cs="Arial"/>
          <w:sz w:val="20"/>
        </w:rPr>
        <w:t>aktur</w:t>
      </w:r>
      <w:r w:rsidR="006C198E">
        <w:rPr>
          <w:rFonts w:ascii="Arial" w:hAnsi="Arial" w:cs="Arial"/>
          <w:sz w:val="20"/>
        </w:rPr>
        <w:t>y</w:t>
      </w:r>
      <w:r w:rsidRPr="007F4A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</w:t>
      </w:r>
      <w:r w:rsidR="006C198E">
        <w:rPr>
          <w:rFonts w:ascii="Arial" w:hAnsi="Arial" w:cs="Arial"/>
          <w:sz w:val="20"/>
        </w:rPr>
        <w:t>sou</w:t>
      </w:r>
      <w:r>
        <w:rPr>
          <w:rFonts w:ascii="Arial" w:hAnsi="Arial" w:cs="Arial"/>
          <w:sz w:val="20"/>
        </w:rPr>
        <w:t xml:space="preserve"> </w:t>
      </w:r>
      <w:r w:rsidRPr="007F4AC7">
        <w:rPr>
          <w:rFonts w:ascii="Arial" w:hAnsi="Arial" w:cs="Arial"/>
          <w:sz w:val="20"/>
        </w:rPr>
        <w:t>splatn</w:t>
      </w:r>
      <w:r w:rsidR="006C198E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 xml:space="preserve"> </w:t>
      </w:r>
      <w:r w:rsidRPr="007F4AC7">
        <w:rPr>
          <w:rFonts w:ascii="Arial" w:hAnsi="Arial" w:cs="Arial"/>
          <w:sz w:val="20"/>
        </w:rPr>
        <w:t xml:space="preserve">do </w:t>
      </w:r>
      <w:r w:rsidR="006C198E">
        <w:rPr>
          <w:rFonts w:ascii="Arial" w:hAnsi="Arial" w:cs="Arial"/>
          <w:sz w:val="20"/>
        </w:rPr>
        <w:t>21</w:t>
      </w:r>
      <w:r w:rsidRPr="007F4AC7">
        <w:rPr>
          <w:rFonts w:ascii="Arial" w:hAnsi="Arial" w:cs="Arial"/>
          <w:sz w:val="20"/>
        </w:rPr>
        <w:t xml:space="preserve"> dnů ode dne jej</w:t>
      </w:r>
      <w:r w:rsidR="006C198E">
        <w:rPr>
          <w:rFonts w:ascii="Arial" w:hAnsi="Arial" w:cs="Arial"/>
          <w:sz w:val="20"/>
        </w:rPr>
        <w:t>ich</w:t>
      </w:r>
      <w:r w:rsidR="003F32B8">
        <w:rPr>
          <w:rFonts w:ascii="Arial" w:hAnsi="Arial" w:cs="Arial"/>
          <w:sz w:val="20"/>
        </w:rPr>
        <w:t xml:space="preserve"> </w:t>
      </w:r>
      <w:r w:rsidRPr="007F4AC7">
        <w:rPr>
          <w:rFonts w:ascii="Arial" w:hAnsi="Arial" w:cs="Arial"/>
          <w:sz w:val="20"/>
        </w:rPr>
        <w:t>doručení Objednateli</w:t>
      </w:r>
      <w:r>
        <w:rPr>
          <w:rFonts w:ascii="Arial" w:hAnsi="Arial" w:cs="Arial"/>
          <w:sz w:val="20"/>
        </w:rPr>
        <w:t>.</w:t>
      </w:r>
      <w:r w:rsidRPr="007F4AC7">
        <w:rPr>
          <w:rFonts w:ascii="Arial" w:hAnsi="Arial" w:cs="Arial"/>
          <w:sz w:val="20"/>
        </w:rPr>
        <w:t xml:space="preserve"> Cena se hradí bezhotovostním převodem na účet Zhotovitele uvedený v záhlaví této Smlouvy či později Zhotovitelem Objednateli písemně oznámený. Faktura se považuje za uhrazenou dnem odeslání příslušné částky z účtu Objednatele na účet Zhotovitele</w:t>
      </w:r>
      <w:r w:rsidR="00C8551F" w:rsidRPr="001007EF">
        <w:rPr>
          <w:rFonts w:ascii="Arial" w:hAnsi="Arial" w:cs="Arial"/>
          <w:sz w:val="20"/>
        </w:rPr>
        <w:t xml:space="preserve">. </w:t>
      </w:r>
    </w:p>
    <w:p w:rsidR="00C8551F" w:rsidRPr="001007EF" w:rsidRDefault="00C8551F" w:rsidP="00093D75">
      <w:pPr>
        <w:pStyle w:val="Nadpis1"/>
        <w:numPr>
          <w:ilvl w:val="0"/>
          <w:numId w:val="11"/>
        </w:numPr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 w:rsidRPr="001007EF">
        <w:rPr>
          <w:rFonts w:ascii="Arial" w:hAnsi="Arial" w:cs="Arial"/>
        </w:rPr>
        <w:t xml:space="preserve">  DALŠÍ práva a povinnosti smluvních stran</w:t>
      </w:r>
    </w:p>
    <w:p w:rsidR="00F41E26" w:rsidRDefault="00D21574" w:rsidP="00093D75">
      <w:pPr>
        <w:pStyle w:val="Nadpis2"/>
        <w:keepNext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7F4AC7">
        <w:rPr>
          <w:rFonts w:ascii="Arial" w:hAnsi="Arial" w:cs="Arial"/>
          <w:sz w:val="20"/>
        </w:rPr>
        <w:t>Zhotovitel se</w:t>
      </w:r>
      <w:r w:rsidR="00F41E26">
        <w:rPr>
          <w:rFonts w:ascii="Arial" w:hAnsi="Arial" w:cs="Arial"/>
          <w:sz w:val="20"/>
        </w:rPr>
        <w:t xml:space="preserve"> </w:t>
      </w:r>
      <w:r w:rsidR="00F41E26" w:rsidRPr="00AD067F">
        <w:rPr>
          <w:rFonts w:ascii="Arial" w:hAnsi="Arial" w:cs="Arial"/>
          <w:sz w:val="20"/>
        </w:rPr>
        <w:t xml:space="preserve">zavazuje plnit </w:t>
      </w:r>
      <w:r w:rsidR="00F41E26">
        <w:rPr>
          <w:rFonts w:ascii="Arial" w:hAnsi="Arial" w:cs="Arial"/>
          <w:sz w:val="20"/>
        </w:rPr>
        <w:t>Dílo</w:t>
      </w:r>
      <w:r w:rsidR="00F41E26" w:rsidRPr="00AD067F">
        <w:rPr>
          <w:rFonts w:ascii="Arial" w:hAnsi="Arial" w:cs="Arial"/>
          <w:sz w:val="20"/>
        </w:rPr>
        <w:t xml:space="preserve"> vlastním jménem, na vlastní odpovědnost a dle pokynů </w:t>
      </w:r>
      <w:r w:rsidR="00F41E26">
        <w:rPr>
          <w:rFonts w:ascii="Arial" w:hAnsi="Arial" w:cs="Arial"/>
          <w:sz w:val="20"/>
        </w:rPr>
        <w:t>Objednatele</w:t>
      </w:r>
      <w:r w:rsidR="00F41E26" w:rsidRPr="00AD067F">
        <w:rPr>
          <w:rFonts w:ascii="Arial" w:hAnsi="Arial" w:cs="Arial"/>
          <w:sz w:val="20"/>
        </w:rPr>
        <w:t xml:space="preserve">, které jsou pro </w:t>
      </w:r>
      <w:r w:rsidR="00F41E26">
        <w:rPr>
          <w:rFonts w:ascii="Arial" w:hAnsi="Arial" w:cs="Arial"/>
          <w:sz w:val="20"/>
        </w:rPr>
        <w:t>Z</w:t>
      </w:r>
      <w:r w:rsidR="00F41E26" w:rsidRPr="00AD067F">
        <w:rPr>
          <w:rFonts w:ascii="Arial" w:hAnsi="Arial" w:cs="Arial"/>
          <w:sz w:val="20"/>
        </w:rPr>
        <w:t xml:space="preserve">hotovitele závazné; jsou-li pokyny </w:t>
      </w:r>
      <w:r w:rsidR="00F41E26">
        <w:rPr>
          <w:rFonts w:ascii="Arial" w:hAnsi="Arial" w:cs="Arial"/>
          <w:sz w:val="20"/>
        </w:rPr>
        <w:t>Objednatele</w:t>
      </w:r>
      <w:r w:rsidR="00F41E26" w:rsidRPr="00AD067F">
        <w:rPr>
          <w:rFonts w:ascii="Arial" w:hAnsi="Arial" w:cs="Arial"/>
          <w:sz w:val="20"/>
        </w:rPr>
        <w:t xml:space="preserve"> nevhodné, je </w:t>
      </w:r>
      <w:r w:rsidR="00F41E26">
        <w:rPr>
          <w:rFonts w:ascii="Arial" w:hAnsi="Arial" w:cs="Arial"/>
          <w:sz w:val="20"/>
        </w:rPr>
        <w:t>Z</w:t>
      </w:r>
      <w:r w:rsidR="00F41E26" w:rsidRPr="00AD067F">
        <w:rPr>
          <w:rFonts w:ascii="Arial" w:hAnsi="Arial" w:cs="Arial"/>
          <w:sz w:val="20"/>
        </w:rPr>
        <w:t xml:space="preserve">hotovitel povinen </w:t>
      </w:r>
      <w:r w:rsidR="00F41E26">
        <w:rPr>
          <w:rFonts w:ascii="Arial" w:hAnsi="Arial" w:cs="Arial"/>
          <w:sz w:val="20"/>
        </w:rPr>
        <w:t>Objednatele</w:t>
      </w:r>
      <w:r w:rsidR="00F41E26" w:rsidRPr="00AD067F">
        <w:rPr>
          <w:rFonts w:ascii="Arial" w:hAnsi="Arial" w:cs="Arial"/>
          <w:sz w:val="20"/>
        </w:rPr>
        <w:t xml:space="preserve"> na nevhodnost jeho pokynů be</w:t>
      </w:r>
      <w:r w:rsidR="00F41E26">
        <w:rPr>
          <w:rFonts w:ascii="Arial" w:hAnsi="Arial" w:cs="Arial"/>
          <w:sz w:val="20"/>
        </w:rPr>
        <w:t>z zbytečného odkladu upozornit.</w:t>
      </w:r>
    </w:p>
    <w:p w:rsidR="00F41E26" w:rsidRDefault="00F41E26" w:rsidP="005D6C87">
      <w:pPr>
        <w:pStyle w:val="Nadpis2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</w:t>
      </w:r>
      <w:r w:rsidRPr="00AD067F">
        <w:rPr>
          <w:rFonts w:ascii="Arial" w:hAnsi="Arial" w:cs="Arial"/>
          <w:sz w:val="20"/>
        </w:rPr>
        <w:t xml:space="preserve">se zavazuje provádět </w:t>
      </w:r>
      <w:r>
        <w:rPr>
          <w:rFonts w:ascii="Arial" w:hAnsi="Arial" w:cs="Arial"/>
          <w:sz w:val="20"/>
        </w:rPr>
        <w:t>Dílo</w:t>
      </w:r>
      <w:r w:rsidRPr="00AD067F">
        <w:rPr>
          <w:rFonts w:ascii="Arial" w:hAnsi="Arial" w:cs="Arial"/>
          <w:sz w:val="20"/>
        </w:rPr>
        <w:t xml:space="preserve"> řádně, tj. bez vad a nedodělků, s</w:t>
      </w:r>
      <w:r>
        <w:rPr>
          <w:rFonts w:ascii="Arial" w:hAnsi="Arial" w:cs="Arial"/>
          <w:sz w:val="20"/>
        </w:rPr>
        <w:t> </w:t>
      </w:r>
      <w:r w:rsidRPr="00AD067F">
        <w:rPr>
          <w:rFonts w:ascii="Arial" w:hAnsi="Arial" w:cs="Arial"/>
          <w:sz w:val="20"/>
        </w:rPr>
        <w:t>odbornou péčí a ve vysoké kvalitě</w:t>
      </w:r>
      <w:r>
        <w:rPr>
          <w:rFonts w:ascii="Arial" w:hAnsi="Arial" w:cs="Arial"/>
          <w:sz w:val="20"/>
        </w:rPr>
        <w:t>.</w:t>
      </w:r>
    </w:p>
    <w:p w:rsidR="00350E89" w:rsidRDefault="00350E89" w:rsidP="005D6C87">
      <w:pPr>
        <w:pStyle w:val="Nadpis2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 provede zajištění sběru veškerých dat po</w:t>
      </w:r>
      <w:r w:rsidR="006977A5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řebných pro zpracování BEI z</w:t>
      </w:r>
      <w:r w:rsidR="00D83F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dopravy</w:t>
      </w:r>
      <w:r w:rsidR="00D83F43">
        <w:rPr>
          <w:rFonts w:ascii="Arial" w:hAnsi="Arial" w:cs="Arial"/>
          <w:sz w:val="20"/>
        </w:rPr>
        <w:t xml:space="preserve"> </w:t>
      </w:r>
      <w:r w:rsidR="00D8312F">
        <w:rPr>
          <w:rFonts w:ascii="Arial" w:hAnsi="Arial" w:cs="Arial"/>
          <w:sz w:val="20"/>
        </w:rPr>
        <w:t xml:space="preserve">a </w:t>
      </w:r>
      <w:r w:rsidR="00D83F43">
        <w:rPr>
          <w:rFonts w:ascii="Arial" w:hAnsi="Arial" w:cs="Arial"/>
          <w:sz w:val="20"/>
        </w:rPr>
        <w:t>v</w:t>
      </w:r>
      <w:r w:rsidR="00ED494E">
        <w:rPr>
          <w:rFonts w:ascii="Arial" w:hAnsi="Arial" w:cs="Arial"/>
          <w:sz w:val="20"/>
        </w:rPr>
        <w:t> </w:t>
      </w:r>
      <w:r w:rsidR="00D83F43">
        <w:rPr>
          <w:rFonts w:ascii="Arial" w:hAnsi="Arial" w:cs="Arial"/>
          <w:sz w:val="20"/>
        </w:rPr>
        <w:t>rozsahu</w:t>
      </w:r>
      <w:r w:rsidR="00ED494E">
        <w:rPr>
          <w:rFonts w:ascii="Arial" w:hAnsi="Arial" w:cs="Arial"/>
          <w:sz w:val="20"/>
        </w:rPr>
        <w:t>:</w:t>
      </w:r>
    </w:p>
    <w:p w:rsidR="00D83F43" w:rsidRDefault="00D83F43" w:rsidP="00761D61">
      <w:pPr>
        <w:pStyle w:val="Nadpis2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 w:rsidRPr="00D83F43">
        <w:rPr>
          <w:rFonts w:ascii="Arial" w:hAnsi="Arial" w:cs="Arial"/>
          <w:sz w:val="20"/>
        </w:rPr>
        <w:t>Městská silniční doprava – vozidla města</w:t>
      </w:r>
    </w:p>
    <w:p w:rsidR="00D83F43" w:rsidRDefault="00D83F43" w:rsidP="00761D61">
      <w:pPr>
        <w:pStyle w:val="Nadpis2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</w:t>
      </w:r>
      <w:r w:rsidR="00BA526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zity dopravy </w:t>
      </w:r>
      <w:r w:rsidR="00ED494E">
        <w:rPr>
          <w:rFonts w:ascii="Arial" w:hAnsi="Arial" w:cs="Arial"/>
          <w:sz w:val="20"/>
        </w:rPr>
        <w:t xml:space="preserve">pro </w:t>
      </w:r>
      <w:r w:rsidR="000A642A">
        <w:rPr>
          <w:rFonts w:ascii="Arial" w:hAnsi="Arial" w:cs="Arial"/>
          <w:sz w:val="20"/>
        </w:rPr>
        <w:t>současný stav</w:t>
      </w:r>
      <w:r w:rsidR="00ED494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rozdělení na nákladní a osobní dopravu</w:t>
      </w:r>
      <w:r w:rsidR="00ED494E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 xml:space="preserve"> identifikátor třídy komunikace a to na celé d</w:t>
      </w:r>
      <w:r w:rsidR="00BA5268">
        <w:rPr>
          <w:rFonts w:ascii="Arial" w:hAnsi="Arial" w:cs="Arial"/>
          <w:sz w:val="20"/>
        </w:rPr>
        <w:t>opravn</w:t>
      </w:r>
      <w:r>
        <w:rPr>
          <w:rFonts w:ascii="Arial" w:hAnsi="Arial" w:cs="Arial"/>
          <w:sz w:val="20"/>
        </w:rPr>
        <w:t xml:space="preserve">í síti katastru města </w:t>
      </w:r>
      <w:r w:rsidR="00ED494E">
        <w:rPr>
          <w:rFonts w:ascii="Arial" w:hAnsi="Arial" w:cs="Arial"/>
          <w:sz w:val="20"/>
        </w:rPr>
        <w:t xml:space="preserve">ve formátu </w:t>
      </w:r>
      <w:proofErr w:type="spellStart"/>
      <w:r w:rsidR="00ED494E">
        <w:rPr>
          <w:rFonts w:ascii="Arial" w:hAnsi="Arial" w:cs="Arial"/>
          <w:sz w:val="20"/>
        </w:rPr>
        <w:t>shapefile</w:t>
      </w:r>
      <w:proofErr w:type="spellEnd"/>
      <w:r w:rsidR="00ED494E">
        <w:rPr>
          <w:rFonts w:ascii="Arial" w:hAnsi="Arial" w:cs="Arial"/>
          <w:sz w:val="20"/>
        </w:rPr>
        <w:t>. N</w:t>
      </w:r>
      <w:r w:rsidR="00BA5268">
        <w:rPr>
          <w:rFonts w:ascii="Arial" w:hAnsi="Arial" w:cs="Arial"/>
          <w:sz w:val="20"/>
        </w:rPr>
        <w:t xml:space="preserve">ebo alespoň seznam všech úseků </w:t>
      </w:r>
      <w:r w:rsidR="00ED494E">
        <w:rPr>
          <w:rFonts w:ascii="Arial" w:hAnsi="Arial" w:cs="Arial"/>
          <w:sz w:val="20"/>
        </w:rPr>
        <w:t>s atributy – intenzita dopravy, délka úseku a třída komunikace ve formátu Excel.</w:t>
      </w:r>
      <w:r w:rsidR="00BA5268">
        <w:rPr>
          <w:rFonts w:ascii="Arial" w:hAnsi="Arial" w:cs="Arial"/>
          <w:sz w:val="20"/>
        </w:rPr>
        <w:t xml:space="preserve"> </w:t>
      </w:r>
    </w:p>
    <w:p w:rsidR="00D83F43" w:rsidRDefault="00D83F43" w:rsidP="00761D61">
      <w:pPr>
        <w:pStyle w:val="Nadpis2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 w:rsidRPr="00D83F43">
        <w:rPr>
          <w:rFonts w:ascii="Arial" w:hAnsi="Arial" w:cs="Arial"/>
          <w:sz w:val="20"/>
        </w:rPr>
        <w:t>Městská silniční doprava: veřejná městská doprava</w:t>
      </w:r>
    </w:p>
    <w:p w:rsidR="00ED494E" w:rsidRDefault="00ED494E" w:rsidP="00761D61">
      <w:pPr>
        <w:pStyle w:val="Nadpis2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Spotřeba podle typu paliva pro hodnocené roky v rámci BEI </w:t>
      </w:r>
    </w:p>
    <w:p w:rsidR="00D83F43" w:rsidRDefault="00D83F43" w:rsidP="00761D61">
      <w:pPr>
        <w:pStyle w:val="Nadpis2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 w:rsidRPr="00427281">
        <w:rPr>
          <w:rFonts w:ascii="Arial" w:hAnsi="Arial" w:cs="Arial"/>
          <w:sz w:val="20"/>
        </w:rPr>
        <w:lastRenderedPageBreak/>
        <w:t>Městská silniční doprava: osobní a podniková doprava</w:t>
      </w:r>
    </w:p>
    <w:p w:rsidR="00ED494E" w:rsidRDefault="00ED494E" w:rsidP="00761D61">
      <w:pPr>
        <w:pStyle w:val="Nadpis2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Spotřeba podle typu paliva pro hodnocené roky v rámci BEI</w:t>
      </w:r>
    </w:p>
    <w:p w:rsidR="00D83F43" w:rsidRDefault="00D83F43" w:rsidP="00761D61">
      <w:pPr>
        <w:pStyle w:val="Nadpis2"/>
        <w:numPr>
          <w:ilvl w:val="0"/>
          <w:numId w:val="0"/>
        </w:numPr>
        <w:overflowPunct w:val="0"/>
        <w:autoSpaceDE w:val="0"/>
        <w:autoSpaceDN w:val="0"/>
        <w:adjustRightInd w:val="0"/>
        <w:spacing w:before="120" w:line="240" w:lineRule="auto"/>
        <w:ind w:left="72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je povinen se na vyžádání se zúčastnit schůzek ohledně sběru dat.</w:t>
      </w:r>
      <w:r w:rsidR="00ED494E">
        <w:rPr>
          <w:rFonts w:ascii="Arial" w:hAnsi="Arial" w:cs="Arial"/>
          <w:sz w:val="20"/>
        </w:rPr>
        <w:t xml:space="preserve"> </w:t>
      </w:r>
      <w:r w:rsidR="00D8312F">
        <w:rPr>
          <w:rFonts w:ascii="Arial" w:hAnsi="Arial" w:cs="Arial"/>
          <w:sz w:val="20"/>
        </w:rPr>
        <w:t xml:space="preserve">Objednatel předá data zhotoviteli nejpozději do </w:t>
      </w:r>
      <w:proofErr w:type="gramStart"/>
      <w:r w:rsidR="00D8312F">
        <w:rPr>
          <w:rFonts w:ascii="Arial" w:hAnsi="Arial" w:cs="Arial"/>
          <w:sz w:val="20"/>
        </w:rPr>
        <w:t>31.7. 2018</w:t>
      </w:r>
      <w:proofErr w:type="gramEnd"/>
      <w:r w:rsidR="00D8312F">
        <w:rPr>
          <w:rFonts w:ascii="Arial" w:hAnsi="Arial" w:cs="Arial"/>
          <w:sz w:val="20"/>
        </w:rPr>
        <w:t xml:space="preserve">. </w:t>
      </w:r>
      <w:r w:rsidR="00ED494E">
        <w:rPr>
          <w:rFonts w:ascii="Arial" w:hAnsi="Arial" w:cs="Arial"/>
          <w:sz w:val="20"/>
        </w:rPr>
        <w:t>V</w:t>
      </w:r>
      <w:r w:rsidR="00D8312F">
        <w:rPr>
          <w:rFonts w:ascii="Arial" w:hAnsi="Arial" w:cs="Arial"/>
          <w:sz w:val="20"/>
        </w:rPr>
        <w:t> </w:t>
      </w:r>
      <w:r w:rsidR="00ED494E">
        <w:rPr>
          <w:rFonts w:ascii="Arial" w:hAnsi="Arial" w:cs="Arial"/>
          <w:sz w:val="20"/>
        </w:rPr>
        <w:t>případě</w:t>
      </w:r>
      <w:r w:rsidR="00D8312F">
        <w:rPr>
          <w:rFonts w:ascii="Arial" w:hAnsi="Arial" w:cs="Arial"/>
          <w:sz w:val="20"/>
        </w:rPr>
        <w:t>,</w:t>
      </w:r>
      <w:r w:rsidR="00ED494E">
        <w:rPr>
          <w:rFonts w:ascii="Arial" w:hAnsi="Arial" w:cs="Arial"/>
          <w:sz w:val="20"/>
        </w:rPr>
        <w:t xml:space="preserve"> že nebudou dodaná výše popsaná dat</w:t>
      </w:r>
      <w:r w:rsidR="00D8312F">
        <w:rPr>
          <w:rFonts w:ascii="Arial" w:hAnsi="Arial" w:cs="Arial"/>
          <w:sz w:val="20"/>
        </w:rPr>
        <w:t>a nebo nebude dodržen termín předání dat,</w:t>
      </w:r>
      <w:r w:rsidR="00ED494E">
        <w:rPr>
          <w:rFonts w:ascii="Arial" w:hAnsi="Arial" w:cs="Arial"/>
          <w:sz w:val="20"/>
        </w:rPr>
        <w:t xml:space="preserve"> vyhrazuje si zhotovitel právo na kvalifikovaný odhad, na základě veřejně dostupných dat.</w:t>
      </w:r>
    </w:p>
    <w:p w:rsidR="00F41E26" w:rsidRDefault="00F41E26" w:rsidP="005D6C87">
      <w:pPr>
        <w:pStyle w:val="Nadpis2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E71313">
        <w:rPr>
          <w:rFonts w:ascii="Arial" w:hAnsi="Arial" w:cs="Arial"/>
          <w:sz w:val="20"/>
        </w:rPr>
        <w:t xml:space="preserve">má právo provádět monitoring plnění této smlouvy. Na žádost </w:t>
      </w:r>
      <w:r>
        <w:rPr>
          <w:rFonts w:ascii="Arial" w:hAnsi="Arial" w:cs="Arial"/>
          <w:sz w:val="20"/>
        </w:rPr>
        <w:t>Objednatele</w:t>
      </w:r>
      <w:r w:rsidRPr="00E71313">
        <w:rPr>
          <w:rFonts w:ascii="Arial" w:hAnsi="Arial" w:cs="Arial"/>
          <w:sz w:val="20"/>
        </w:rPr>
        <w:t xml:space="preserve"> se </w:t>
      </w:r>
      <w:r>
        <w:rPr>
          <w:rFonts w:ascii="Arial" w:hAnsi="Arial" w:cs="Arial"/>
          <w:sz w:val="20"/>
        </w:rPr>
        <w:t>Z</w:t>
      </w:r>
      <w:r w:rsidRPr="00E71313">
        <w:rPr>
          <w:rFonts w:ascii="Arial" w:hAnsi="Arial" w:cs="Arial"/>
          <w:sz w:val="20"/>
        </w:rPr>
        <w:t xml:space="preserve">hotovitel zavazuje, a to i opakovaně, umožnit </w:t>
      </w:r>
      <w:r>
        <w:rPr>
          <w:rFonts w:ascii="Arial" w:hAnsi="Arial" w:cs="Arial"/>
          <w:sz w:val="20"/>
        </w:rPr>
        <w:t>Objednateli</w:t>
      </w:r>
      <w:r w:rsidRPr="00E71313">
        <w:rPr>
          <w:rFonts w:ascii="Arial" w:hAnsi="Arial" w:cs="Arial"/>
          <w:sz w:val="20"/>
        </w:rPr>
        <w:t xml:space="preserve"> provedení kontroly plnění </w:t>
      </w:r>
      <w:r>
        <w:rPr>
          <w:rFonts w:ascii="Arial" w:hAnsi="Arial" w:cs="Arial"/>
          <w:sz w:val="20"/>
        </w:rPr>
        <w:t>S</w:t>
      </w:r>
      <w:r w:rsidRPr="00E71313">
        <w:rPr>
          <w:rFonts w:ascii="Arial" w:hAnsi="Arial" w:cs="Arial"/>
          <w:sz w:val="20"/>
        </w:rPr>
        <w:t xml:space="preserve">mlouvy. Zhotovitel se zavazuje </w:t>
      </w:r>
      <w:r>
        <w:rPr>
          <w:rFonts w:ascii="Arial" w:hAnsi="Arial" w:cs="Arial"/>
          <w:sz w:val="20"/>
        </w:rPr>
        <w:t>při</w:t>
      </w:r>
      <w:r w:rsidRPr="00E71313">
        <w:rPr>
          <w:rFonts w:ascii="Arial" w:hAnsi="Arial" w:cs="Arial"/>
          <w:sz w:val="20"/>
        </w:rPr>
        <w:t xml:space="preserve"> provádění monitoringu a kontroly poskytnout </w:t>
      </w:r>
      <w:r>
        <w:rPr>
          <w:rFonts w:ascii="Arial" w:hAnsi="Arial" w:cs="Arial"/>
          <w:sz w:val="20"/>
        </w:rPr>
        <w:t>Objednateli</w:t>
      </w:r>
      <w:r w:rsidRPr="00E71313">
        <w:rPr>
          <w:rFonts w:ascii="Arial" w:hAnsi="Arial" w:cs="Arial"/>
          <w:sz w:val="20"/>
        </w:rPr>
        <w:t xml:space="preserve"> veškerou součinnost včetně přístupu ke všem dokladům souvisejícím s plněním </w:t>
      </w:r>
      <w:r>
        <w:rPr>
          <w:rFonts w:ascii="Arial" w:hAnsi="Arial" w:cs="Arial"/>
          <w:sz w:val="20"/>
        </w:rPr>
        <w:t>S</w:t>
      </w:r>
      <w:r w:rsidRPr="00E71313">
        <w:rPr>
          <w:rFonts w:ascii="Arial" w:hAnsi="Arial" w:cs="Arial"/>
          <w:sz w:val="20"/>
        </w:rPr>
        <w:t>mlouvy</w:t>
      </w:r>
      <w:r>
        <w:rPr>
          <w:rFonts w:ascii="Arial" w:hAnsi="Arial" w:cs="Arial"/>
          <w:sz w:val="20"/>
        </w:rPr>
        <w:t>.</w:t>
      </w:r>
    </w:p>
    <w:p w:rsidR="00F41E26" w:rsidRDefault="00F41E26" w:rsidP="005D6C87">
      <w:pPr>
        <w:pStyle w:val="Nadpis2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E71313">
        <w:rPr>
          <w:rFonts w:ascii="Arial" w:hAnsi="Arial" w:cs="Arial"/>
          <w:sz w:val="20"/>
        </w:rPr>
        <w:t xml:space="preserve">je oprávněn po celou dobu plnění (realizace) </w:t>
      </w:r>
      <w:r>
        <w:rPr>
          <w:rFonts w:ascii="Arial" w:hAnsi="Arial" w:cs="Arial"/>
          <w:sz w:val="20"/>
        </w:rPr>
        <w:t>Díla</w:t>
      </w:r>
      <w:r w:rsidRPr="00E7131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</w:t>
      </w:r>
      <w:r w:rsidRPr="00E71313">
        <w:rPr>
          <w:rFonts w:ascii="Arial" w:hAnsi="Arial" w:cs="Arial"/>
          <w:sz w:val="20"/>
        </w:rPr>
        <w:t xml:space="preserve">hotovitelem kdykoliv předkládat </w:t>
      </w:r>
      <w:r>
        <w:rPr>
          <w:rFonts w:ascii="Arial" w:hAnsi="Arial" w:cs="Arial"/>
          <w:sz w:val="20"/>
        </w:rPr>
        <w:t>Z</w:t>
      </w:r>
      <w:r w:rsidRPr="00E71313">
        <w:rPr>
          <w:rFonts w:ascii="Arial" w:hAnsi="Arial" w:cs="Arial"/>
          <w:sz w:val="20"/>
        </w:rPr>
        <w:t>hotoviteli návrhy, připomínky a závazné pokyny</w:t>
      </w:r>
      <w:r>
        <w:rPr>
          <w:rFonts w:ascii="Arial" w:hAnsi="Arial" w:cs="Arial"/>
          <w:sz w:val="20"/>
        </w:rPr>
        <w:t>.</w:t>
      </w:r>
    </w:p>
    <w:p w:rsidR="00F41E26" w:rsidRDefault="00F41E26" w:rsidP="005D6C87">
      <w:pPr>
        <w:pStyle w:val="Nadpis2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</w:t>
      </w:r>
      <w:r w:rsidRPr="00E71313">
        <w:rPr>
          <w:rFonts w:ascii="Arial" w:hAnsi="Arial" w:cs="Arial"/>
          <w:sz w:val="20"/>
        </w:rPr>
        <w:t xml:space="preserve">se zavazuje bez zbytečného odkladu informovat </w:t>
      </w:r>
      <w:r>
        <w:rPr>
          <w:rFonts w:ascii="Arial" w:hAnsi="Arial" w:cs="Arial"/>
          <w:sz w:val="20"/>
        </w:rPr>
        <w:t>Objednatele</w:t>
      </w:r>
      <w:r w:rsidRPr="00E71313">
        <w:rPr>
          <w:rFonts w:ascii="Arial" w:hAnsi="Arial" w:cs="Arial"/>
          <w:sz w:val="20"/>
        </w:rPr>
        <w:t xml:space="preserve"> o skutečnostech, které by mohly ovlivnit řádné a/nebo včasné plnění </w:t>
      </w:r>
      <w:r>
        <w:rPr>
          <w:rFonts w:ascii="Arial" w:hAnsi="Arial" w:cs="Arial"/>
          <w:sz w:val="20"/>
        </w:rPr>
        <w:t>S</w:t>
      </w:r>
      <w:r w:rsidRPr="00E71313">
        <w:rPr>
          <w:rFonts w:ascii="Arial" w:hAnsi="Arial" w:cs="Arial"/>
          <w:sz w:val="20"/>
        </w:rPr>
        <w:t>mlouvy</w:t>
      </w:r>
      <w:r>
        <w:rPr>
          <w:rFonts w:ascii="Arial" w:hAnsi="Arial" w:cs="Arial"/>
          <w:sz w:val="20"/>
        </w:rPr>
        <w:t>.</w:t>
      </w:r>
    </w:p>
    <w:p w:rsidR="00F41E26" w:rsidRDefault="00F41E26" w:rsidP="005D6C87">
      <w:pPr>
        <w:pStyle w:val="Nadpis2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E71313">
        <w:rPr>
          <w:rFonts w:ascii="Arial" w:hAnsi="Arial" w:cs="Arial"/>
          <w:sz w:val="20"/>
        </w:rPr>
        <w:t xml:space="preserve">se zavazuje poskytnout </w:t>
      </w:r>
      <w:r>
        <w:rPr>
          <w:rFonts w:ascii="Arial" w:hAnsi="Arial" w:cs="Arial"/>
          <w:sz w:val="20"/>
        </w:rPr>
        <w:t>Z</w:t>
      </w:r>
      <w:r w:rsidRPr="00E71313">
        <w:rPr>
          <w:rFonts w:ascii="Arial" w:hAnsi="Arial" w:cs="Arial"/>
          <w:sz w:val="20"/>
        </w:rPr>
        <w:t xml:space="preserve">hotoviteli po celou dobu realizace </w:t>
      </w:r>
      <w:r>
        <w:rPr>
          <w:rFonts w:ascii="Arial" w:hAnsi="Arial" w:cs="Arial"/>
          <w:sz w:val="20"/>
        </w:rPr>
        <w:t>Díla</w:t>
      </w:r>
      <w:r w:rsidRPr="00E71313">
        <w:rPr>
          <w:rFonts w:ascii="Arial" w:hAnsi="Arial" w:cs="Arial"/>
          <w:sz w:val="20"/>
        </w:rPr>
        <w:t xml:space="preserve"> řádnou a včasnou informační a odbornou podporu a nezbytnou součinnost v rozsahu nutném k řádnému a</w:t>
      </w:r>
      <w:r>
        <w:rPr>
          <w:rFonts w:ascii="Arial" w:hAnsi="Arial" w:cs="Arial"/>
          <w:sz w:val="20"/>
        </w:rPr>
        <w:t> </w:t>
      </w:r>
      <w:r w:rsidRPr="00E71313">
        <w:rPr>
          <w:rFonts w:ascii="Arial" w:hAnsi="Arial" w:cs="Arial"/>
          <w:sz w:val="20"/>
        </w:rPr>
        <w:t xml:space="preserve">včasnému provedení </w:t>
      </w:r>
      <w:r>
        <w:rPr>
          <w:rFonts w:ascii="Arial" w:hAnsi="Arial" w:cs="Arial"/>
          <w:sz w:val="20"/>
        </w:rPr>
        <w:t>Díla.</w:t>
      </w:r>
    </w:p>
    <w:p w:rsidR="00F41E26" w:rsidRDefault="00F41E26" w:rsidP="005D6C87">
      <w:pPr>
        <w:pStyle w:val="Nadpis2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</w:t>
      </w:r>
      <w:r w:rsidRPr="00E71313">
        <w:rPr>
          <w:rFonts w:ascii="Arial" w:hAnsi="Arial" w:cs="Arial"/>
          <w:sz w:val="20"/>
        </w:rPr>
        <w:t xml:space="preserve">se zavazuje při plnění (realizaci) </w:t>
      </w:r>
      <w:r>
        <w:rPr>
          <w:rFonts w:ascii="Arial" w:hAnsi="Arial" w:cs="Arial"/>
          <w:sz w:val="20"/>
        </w:rPr>
        <w:t>Díla</w:t>
      </w:r>
      <w:r w:rsidRPr="00E71313">
        <w:rPr>
          <w:rFonts w:ascii="Arial" w:hAnsi="Arial" w:cs="Arial"/>
          <w:sz w:val="20"/>
        </w:rPr>
        <w:t xml:space="preserve"> neporušit autorská práva nebo jiná práva k</w:t>
      </w:r>
      <w:r>
        <w:rPr>
          <w:rFonts w:ascii="Arial" w:hAnsi="Arial" w:cs="Arial"/>
          <w:sz w:val="20"/>
        </w:rPr>
        <w:t> </w:t>
      </w:r>
      <w:r w:rsidRPr="00E71313">
        <w:rPr>
          <w:rFonts w:ascii="Arial" w:hAnsi="Arial" w:cs="Arial"/>
          <w:sz w:val="20"/>
        </w:rPr>
        <w:t xml:space="preserve">duševnímu či průmyslovému vlastnictví třetích osob a v souvislosti s tímto se zavazuje odškodnit bez jakýchkoli omezení </w:t>
      </w:r>
      <w:r>
        <w:rPr>
          <w:rFonts w:ascii="Arial" w:hAnsi="Arial" w:cs="Arial"/>
          <w:sz w:val="20"/>
        </w:rPr>
        <w:t>Objednatele</w:t>
      </w:r>
      <w:r w:rsidRPr="00E71313">
        <w:rPr>
          <w:rFonts w:ascii="Arial" w:hAnsi="Arial" w:cs="Arial"/>
          <w:sz w:val="20"/>
        </w:rPr>
        <w:t xml:space="preserve"> za veškeré oprávněné nároky třetích osob týkající se porušení autorského práva nebo jiných práv k duševnímu či průmyslovému vlastnictví</w:t>
      </w:r>
      <w:r>
        <w:rPr>
          <w:rFonts w:ascii="Arial" w:hAnsi="Arial" w:cs="Arial"/>
          <w:sz w:val="20"/>
        </w:rPr>
        <w:t>.</w:t>
      </w:r>
    </w:p>
    <w:p w:rsidR="00C737D2" w:rsidRPr="00093D75" w:rsidRDefault="00F41E26" w:rsidP="00093D75">
      <w:pPr>
        <w:pStyle w:val="Nadpis2"/>
        <w:numPr>
          <w:ilvl w:val="1"/>
          <w:numId w:val="10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F41E26">
        <w:rPr>
          <w:rFonts w:ascii="Arial" w:hAnsi="Arial" w:cs="Arial"/>
          <w:sz w:val="20"/>
        </w:rPr>
        <w:t xml:space="preserve">V případě, že Zhotovitel plní část Díla prostřednictvím třetích osob (subdodavatelů), odpovídá Zhotovitel </w:t>
      </w:r>
      <w:r w:rsidR="00093D75">
        <w:rPr>
          <w:rFonts w:ascii="Arial" w:hAnsi="Arial" w:cs="Arial"/>
          <w:sz w:val="20"/>
        </w:rPr>
        <w:t>Objednateli, jako by plnil sám</w:t>
      </w:r>
      <w:r w:rsidR="00C737D2" w:rsidRPr="00093D75">
        <w:rPr>
          <w:rFonts w:ascii="Arial" w:hAnsi="Arial" w:cs="Arial"/>
          <w:sz w:val="20"/>
        </w:rPr>
        <w:t>.</w:t>
      </w:r>
    </w:p>
    <w:p w:rsidR="00C8551F" w:rsidRPr="001007EF" w:rsidRDefault="00C8551F" w:rsidP="005D6C87">
      <w:pPr>
        <w:pStyle w:val="Nadpis1"/>
        <w:keepNext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 w:rsidRPr="001007EF">
        <w:rPr>
          <w:rFonts w:ascii="Arial" w:hAnsi="Arial" w:cs="Arial"/>
        </w:rPr>
        <w:t>ODPOVĚDNOST ZA VADY; záruka</w:t>
      </w:r>
    </w:p>
    <w:p w:rsidR="00F41E26" w:rsidRPr="00F41E26" w:rsidRDefault="00F41E26" w:rsidP="005D6C87">
      <w:pPr>
        <w:pStyle w:val="Nadpis2"/>
        <w:numPr>
          <w:ilvl w:val="1"/>
          <w:numId w:val="9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Pr="002A1D9C">
        <w:rPr>
          <w:rFonts w:ascii="Arial" w:hAnsi="Arial" w:cs="Arial"/>
          <w:sz w:val="20"/>
        </w:rPr>
        <w:t xml:space="preserve"> má právo uplatnit u Zhotovitele vadu ve lhůtě 24</w:t>
      </w:r>
      <w:r w:rsidR="00C737D2">
        <w:rPr>
          <w:rFonts w:ascii="Arial" w:hAnsi="Arial" w:cs="Arial"/>
          <w:sz w:val="20"/>
        </w:rPr>
        <w:t> </w:t>
      </w:r>
      <w:r w:rsidRPr="002A1D9C">
        <w:rPr>
          <w:rFonts w:ascii="Arial" w:hAnsi="Arial" w:cs="Arial"/>
          <w:sz w:val="20"/>
        </w:rPr>
        <w:t xml:space="preserve">měsíců ode dne </w:t>
      </w:r>
      <w:r w:rsidR="001E07C8">
        <w:rPr>
          <w:rFonts w:ascii="Arial" w:hAnsi="Arial" w:cs="Arial"/>
          <w:sz w:val="20"/>
        </w:rPr>
        <w:t>předání a převzetí díla</w:t>
      </w:r>
      <w:r w:rsidRPr="002A1D9C">
        <w:rPr>
          <w:rFonts w:ascii="Arial" w:hAnsi="Arial" w:cs="Arial"/>
          <w:sz w:val="20"/>
        </w:rPr>
        <w:t>.</w:t>
      </w:r>
    </w:p>
    <w:p w:rsidR="00F41E26" w:rsidRPr="00871177" w:rsidRDefault="00F41E26" w:rsidP="005544C7">
      <w:pPr>
        <w:pStyle w:val="Nadpis2"/>
        <w:numPr>
          <w:ilvl w:val="1"/>
          <w:numId w:val="9"/>
        </w:num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</w:rPr>
      </w:pPr>
      <w:r w:rsidRPr="00871177">
        <w:rPr>
          <w:rFonts w:ascii="Arial" w:hAnsi="Arial" w:cs="Arial"/>
          <w:sz w:val="20"/>
        </w:rPr>
        <w:t xml:space="preserve">Oznámení vady </w:t>
      </w:r>
      <w:r>
        <w:rPr>
          <w:rFonts w:ascii="Arial" w:hAnsi="Arial" w:cs="Arial"/>
          <w:sz w:val="20"/>
        </w:rPr>
        <w:t>Díla (</w:t>
      </w:r>
      <w:r w:rsidRPr="00871177">
        <w:rPr>
          <w:rFonts w:ascii="Arial" w:hAnsi="Arial" w:cs="Arial"/>
          <w:sz w:val="20"/>
        </w:rPr>
        <w:t xml:space="preserve">nebo jeho části) je </w:t>
      </w:r>
      <w:r>
        <w:rPr>
          <w:rFonts w:ascii="Arial" w:hAnsi="Arial" w:cs="Arial"/>
          <w:sz w:val="20"/>
        </w:rPr>
        <w:t>Objednatel</w:t>
      </w:r>
      <w:r w:rsidRPr="00871177">
        <w:rPr>
          <w:rFonts w:ascii="Arial" w:hAnsi="Arial" w:cs="Arial"/>
          <w:sz w:val="20"/>
        </w:rPr>
        <w:t xml:space="preserve"> povinen učinit písemně, postačí prostřednictvím e-mailu na adresu </w:t>
      </w:r>
      <w:r>
        <w:rPr>
          <w:rFonts w:ascii="Arial" w:hAnsi="Arial" w:cs="Arial"/>
          <w:sz w:val="20"/>
        </w:rPr>
        <w:t>Z</w:t>
      </w:r>
      <w:r w:rsidRPr="00871177">
        <w:rPr>
          <w:rFonts w:ascii="Arial" w:hAnsi="Arial" w:cs="Arial"/>
          <w:sz w:val="20"/>
        </w:rPr>
        <w:t xml:space="preserve">hotovitele, </w:t>
      </w:r>
      <w:r w:rsidR="005544C7" w:rsidRPr="005544C7">
        <w:rPr>
          <w:rFonts w:ascii="Arial" w:hAnsi="Arial" w:cs="Arial"/>
          <w:sz w:val="20"/>
        </w:rPr>
        <w:t>Líšeňská 33a, 636 00 Brno</w:t>
      </w:r>
      <w:r w:rsidR="005544C7">
        <w:rPr>
          <w:rFonts w:ascii="Arial" w:hAnsi="Arial" w:cs="Arial"/>
          <w:sz w:val="20"/>
        </w:rPr>
        <w:t xml:space="preserve">, </w:t>
      </w:r>
      <w:r w:rsidRPr="00871177">
        <w:rPr>
          <w:rFonts w:ascii="Arial" w:hAnsi="Arial" w:cs="Arial"/>
          <w:sz w:val="20"/>
        </w:rPr>
        <w:t>s popisem vady.</w:t>
      </w:r>
    </w:p>
    <w:p w:rsidR="00F41E26" w:rsidRPr="00871177" w:rsidRDefault="00F41E26" w:rsidP="005D6C87">
      <w:pPr>
        <w:pStyle w:val="Nadpis2"/>
        <w:numPr>
          <w:ilvl w:val="1"/>
          <w:numId w:val="9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871177">
        <w:rPr>
          <w:rFonts w:ascii="Arial" w:hAnsi="Arial" w:cs="Arial"/>
          <w:sz w:val="20"/>
        </w:rPr>
        <w:t xml:space="preserve">Zhotovitel se zavazuje odstranit vadu </w:t>
      </w:r>
      <w:r>
        <w:rPr>
          <w:rFonts w:ascii="Arial" w:hAnsi="Arial" w:cs="Arial"/>
          <w:sz w:val="20"/>
        </w:rPr>
        <w:t>Díla</w:t>
      </w:r>
      <w:r w:rsidRPr="00871177">
        <w:rPr>
          <w:rFonts w:ascii="Arial" w:hAnsi="Arial" w:cs="Arial"/>
          <w:sz w:val="20"/>
        </w:rPr>
        <w:t xml:space="preserve"> nebo jeho části bez zbytečného odkladu. V případě, že je nutné pro odstranění vady </w:t>
      </w:r>
      <w:r>
        <w:rPr>
          <w:rFonts w:ascii="Arial" w:hAnsi="Arial" w:cs="Arial"/>
          <w:sz w:val="20"/>
        </w:rPr>
        <w:t>Díla</w:t>
      </w:r>
      <w:r w:rsidRPr="00871177">
        <w:rPr>
          <w:rFonts w:ascii="Arial" w:hAnsi="Arial" w:cs="Arial"/>
          <w:sz w:val="20"/>
        </w:rPr>
        <w:t xml:space="preserve"> nebo jeho části jeho odevzdání </w:t>
      </w:r>
      <w:r>
        <w:rPr>
          <w:rFonts w:ascii="Arial" w:hAnsi="Arial" w:cs="Arial"/>
          <w:sz w:val="20"/>
        </w:rPr>
        <w:t>Z</w:t>
      </w:r>
      <w:r w:rsidRPr="00871177">
        <w:rPr>
          <w:rFonts w:ascii="Arial" w:hAnsi="Arial" w:cs="Arial"/>
          <w:sz w:val="20"/>
        </w:rPr>
        <w:t xml:space="preserve">hotoviteli, zavazuje se </w:t>
      </w:r>
      <w:r>
        <w:rPr>
          <w:rFonts w:ascii="Arial" w:hAnsi="Arial" w:cs="Arial"/>
          <w:sz w:val="20"/>
        </w:rPr>
        <w:t>Z</w:t>
      </w:r>
      <w:r w:rsidRPr="00871177">
        <w:rPr>
          <w:rFonts w:ascii="Arial" w:hAnsi="Arial" w:cs="Arial"/>
          <w:sz w:val="20"/>
        </w:rPr>
        <w:t xml:space="preserve">hotovitel převzít tento v sídle </w:t>
      </w:r>
      <w:r>
        <w:rPr>
          <w:rFonts w:ascii="Arial" w:hAnsi="Arial" w:cs="Arial"/>
          <w:sz w:val="20"/>
        </w:rPr>
        <w:t>Objednatele</w:t>
      </w:r>
      <w:r w:rsidRPr="00871177">
        <w:rPr>
          <w:rFonts w:ascii="Arial" w:hAnsi="Arial" w:cs="Arial"/>
          <w:sz w:val="20"/>
        </w:rPr>
        <w:t>.</w:t>
      </w:r>
    </w:p>
    <w:p w:rsidR="00F41E26" w:rsidRPr="002A1D9C" w:rsidRDefault="00F41E26" w:rsidP="005D6C87">
      <w:pPr>
        <w:pStyle w:val="Nadpis2"/>
        <w:numPr>
          <w:ilvl w:val="1"/>
          <w:numId w:val="9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2A1D9C">
        <w:rPr>
          <w:rFonts w:ascii="Arial" w:hAnsi="Arial" w:cs="Arial"/>
          <w:sz w:val="20"/>
        </w:rPr>
        <w:t>Záruční doba na reklamovanou část Díla se prodlužuje o dobu od uplatnění reklamace do dne odstranění vady včetně doručení písemného potvrzení Zhotovitele o odstranění vady Objednateli.</w:t>
      </w:r>
    </w:p>
    <w:p w:rsidR="00C8551F" w:rsidRPr="001007EF" w:rsidRDefault="00F41E26" w:rsidP="005D6C87">
      <w:pPr>
        <w:pStyle w:val="Nadpis2"/>
        <w:numPr>
          <w:ilvl w:val="1"/>
          <w:numId w:val="9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2A1D9C">
        <w:rPr>
          <w:rFonts w:ascii="Arial" w:hAnsi="Arial" w:cs="Arial"/>
          <w:sz w:val="20"/>
        </w:rPr>
        <w:t>V případě, že Objednatel uplatní právo na opravu, zavazuje se Zhotovitel zahájit práce na odstraňování vady v dohodnuté lhůtě, nejpozději však do tří (3) pracovních dnů ode dne obdržení reklamace, a dokončit je v dohodnuté lhůtě, nejpozději však do tří (3) pracovních dnů nebo v nejkratší technologicky možné lhůtě od termínu pro zahájení jejich odstraňování</w:t>
      </w:r>
    </w:p>
    <w:p w:rsidR="00C8551F" w:rsidRPr="001007EF" w:rsidRDefault="00B9043D" w:rsidP="005D6C87">
      <w:pPr>
        <w:pStyle w:val="Nadpis1"/>
        <w:keepNext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bookmarkStart w:id="3" w:name="_Ref308179221"/>
      <w:r>
        <w:rPr>
          <w:rFonts w:ascii="Arial" w:hAnsi="Arial" w:cs="Arial"/>
        </w:rPr>
        <w:t xml:space="preserve">smluvní pokuty; </w:t>
      </w:r>
      <w:r w:rsidR="00C8551F" w:rsidRPr="001007EF">
        <w:rPr>
          <w:rFonts w:ascii="Arial" w:hAnsi="Arial" w:cs="Arial"/>
        </w:rPr>
        <w:t>SANKCE</w:t>
      </w:r>
      <w:bookmarkEnd w:id="3"/>
    </w:p>
    <w:p w:rsidR="008D4523" w:rsidRPr="002A1D9C" w:rsidRDefault="008D4523" w:rsidP="001E07C8">
      <w:pPr>
        <w:pStyle w:val="Nadpis2"/>
        <w:numPr>
          <w:ilvl w:val="1"/>
          <w:numId w:val="8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2A1D9C">
        <w:rPr>
          <w:rFonts w:ascii="Arial" w:hAnsi="Arial" w:cs="Arial"/>
          <w:sz w:val="20"/>
        </w:rPr>
        <w:t xml:space="preserve">Zhotovitel je povinen zaplatit Objednateli smluvní pokutu ve výši </w:t>
      </w:r>
      <w:r w:rsidR="001E07C8">
        <w:rPr>
          <w:rFonts w:ascii="Arial" w:hAnsi="Arial" w:cs="Arial"/>
          <w:sz w:val="20"/>
        </w:rPr>
        <w:t>0,02 % z ceny díla</w:t>
      </w:r>
      <w:r w:rsidRPr="002A1D9C">
        <w:rPr>
          <w:rFonts w:ascii="Arial" w:hAnsi="Arial" w:cs="Arial"/>
          <w:sz w:val="20"/>
        </w:rPr>
        <w:t xml:space="preserve"> </w:t>
      </w:r>
      <w:r w:rsidR="002A1D9C" w:rsidRPr="002A1D9C">
        <w:rPr>
          <w:rFonts w:ascii="Arial" w:hAnsi="Arial" w:cs="Arial"/>
          <w:sz w:val="20"/>
        </w:rPr>
        <w:t xml:space="preserve">za každý den prodlení </w:t>
      </w:r>
      <w:r w:rsidRPr="002A1D9C">
        <w:rPr>
          <w:rFonts w:ascii="Arial" w:hAnsi="Arial" w:cs="Arial"/>
          <w:sz w:val="20"/>
        </w:rPr>
        <w:t>Zhotovitele s dokončením Díla ve smyslu čl.</w:t>
      </w:r>
      <w:r w:rsidR="00D8157E" w:rsidRPr="002A1D9C">
        <w:rPr>
          <w:rFonts w:ascii="Arial" w:hAnsi="Arial" w:cs="Arial"/>
          <w:sz w:val="20"/>
        </w:rPr>
        <w:t xml:space="preserve"> </w:t>
      </w:r>
      <w:r w:rsidR="002A1D9C" w:rsidRPr="002A1D9C">
        <w:rPr>
          <w:rFonts w:ascii="Arial" w:hAnsi="Arial" w:cs="Arial"/>
          <w:sz w:val="20"/>
        </w:rPr>
        <w:t>4.4</w:t>
      </w:r>
      <w:r w:rsidRPr="002A1D9C">
        <w:rPr>
          <w:rFonts w:ascii="Arial" w:hAnsi="Arial" w:cs="Arial"/>
          <w:sz w:val="20"/>
        </w:rPr>
        <w:t xml:space="preserve"> Smlouvy.</w:t>
      </w:r>
    </w:p>
    <w:p w:rsidR="00902976" w:rsidRPr="002A1D9C" w:rsidRDefault="00902976" w:rsidP="005D6C87">
      <w:pPr>
        <w:pStyle w:val="Nadpis2"/>
        <w:numPr>
          <w:ilvl w:val="1"/>
          <w:numId w:val="8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2A1D9C">
        <w:rPr>
          <w:rFonts w:ascii="Arial" w:hAnsi="Arial" w:cs="Arial"/>
          <w:sz w:val="20"/>
        </w:rPr>
        <w:t xml:space="preserve">Uplatněním práva na zaplacení smluvní pokuty ani její úhradou dle této Smlouvy není dotčeno ani omezeno právo na náhradu škody způsobené porušením povinnosti, na kterou se vztahuje smluvní pokuta. </w:t>
      </w:r>
    </w:p>
    <w:p w:rsidR="00C8551F" w:rsidRPr="002A1D9C" w:rsidRDefault="00902976" w:rsidP="005D6C87">
      <w:pPr>
        <w:pStyle w:val="Nadpis2"/>
        <w:numPr>
          <w:ilvl w:val="1"/>
          <w:numId w:val="8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2A1D9C">
        <w:rPr>
          <w:rFonts w:ascii="Arial" w:hAnsi="Arial" w:cs="Arial"/>
          <w:sz w:val="20"/>
        </w:rPr>
        <w:lastRenderedPageBreak/>
        <w:t>Objednatel je povinen zaplatit Zhotoviteli úrok z prodlení ve výši 0,02% z dlužné částky ceny za každý den prodlení s jejím zaplacením</w:t>
      </w:r>
      <w:r w:rsidR="00C8551F" w:rsidRPr="002A1D9C">
        <w:rPr>
          <w:rFonts w:ascii="Arial" w:hAnsi="Arial" w:cs="Arial"/>
          <w:sz w:val="20"/>
        </w:rPr>
        <w:t xml:space="preserve">. </w:t>
      </w:r>
    </w:p>
    <w:p w:rsidR="002A1D9C" w:rsidRPr="001007EF" w:rsidRDefault="002A1D9C" w:rsidP="00951FEA">
      <w:pPr>
        <w:pStyle w:val="Nadpis1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vlastnické právo</w:t>
      </w:r>
    </w:p>
    <w:p w:rsidR="002A1D9C" w:rsidRPr="002A1D9C" w:rsidRDefault="002A1D9C" w:rsidP="00951FEA">
      <w:pPr>
        <w:pStyle w:val="Nadpis2"/>
        <w:numPr>
          <w:ilvl w:val="1"/>
          <w:numId w:val="7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2A1D9C">
        <w:rPr>
          <w:rFonts w:ascii="Arial" w:hAnsi="Arial" w:cs="Arial"/>
          <w:sz w:val="20"/>
        </w:rPr>
        <w:t xml:space="preserve">Ve vztahu k věcem, které se v důsledku realizace Díla Zhotovitelem stanou vlastnictvím Objednatele, přechází na Objednatele vlastnické právo k věcem a nebezpečí škody na věcech okamžikem </w:t>
      </w:r>
      <w:r w:rsidR="001E07C8">
        <w:rPr>
          <w:rFonts w:ascii="Arial" w:hAnsi="Arial" w:cs="Arial"/>
          <w:sz w:val="20"/>
        </w:rPr>
        <w:t>úhrady celé ceny díla</w:t>
      </w:r>
      <w:r w:rsidRPr="002A1D9C">
        <w:rPr>
          <w:rFonts w:ascii="Arial" w:hAnsi="Arial" w:cs="Arial"/>
          <w:sz w:val="20"/>
        </w:rPr>
        <w:t>.</w:t>
      </w:r>
    </w:p>
    <w:p w:rsidR="002A1D9C" w:rsidRPr="001007EF" w:rsidRDefault="002A1D9C" w:rsidP="005D6C87">
      <w:pPr>
        <w:pStyle w:val="Nadpis1"/>
        <w:numPr>
          <w:ilvl w:val="0"/>
          <w:numId w:val="7"/>
        </w:numPr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ukončení smlouvy</w:t>
      </w:r>
    </w:p>
    <w:p w:rsidR="002A1D9C" w:rsidRDefault="002A1D9C" w:rsidP="005D6C87">
      <w:pPr>
        <w:pStyle w:val="Nadpis2"/>
        <w:keepNext/>
        <w:numPr>
          <w:ilvl w:val="1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 w:rsidRPr="00B85480">
        <w:rPr>
          <w:rFonts w:ascii="Arial" w:hAnsi="Arial" w:cs="Arial"/>
          <w:sz w:val="20"/>
        </w:rPr>
        <w:t xml:space="preserve">je oprávněn ukončit </w:t>
      </w:r>
      <w:r>
        <w:rPr>
          <w:rFonts w:ascii="Arial" w:hAnsi="Arial" w:cs="Arial"/>
          <w:sz w:val="20"/>
        </w:rPr>
        <w:t>S</w:t>
      </w:r>
      <w:r w:rsidRPr="00B85480">
        <w:rPr>
          <w:rFonts w:ascii="Arial" w:hAnsi="Arial" w:cs="Arial"/>
          <w:sz w:val="20"/>
        </w:rPr>
        <w:t xml:space="preserve">mlouvu </w:t>
      </w:r>
      <w:r>
        <w:rPr>
          <w:rFonts w:ascii="Arial" w:hAnsi="Arial" w:cs="Arial"/>
          <w:sz w:val="20"/>
        </w:rPr>
        <w:t xml:space="preserve">na zhotovení celého Díla </w:t>
      </w:r>
      <w:r w:rsidRPr="00B85480">
        <w:rPr>
          <w:rFonts w:ascii="Arial" w:hAnsi="Arial" w:cs="Arial"/>
          <w:sz w:val="20"/>
        </w:rPr>
        <w:t>nebo i jen je</w:t>
      </w:r>
      <w:r>
        <w:rPr>
          <w:rFonts w:ascii="Arial" w:hAnsi="Arial" w:cs="Arial"/>
          <w:sz w:val="20"/>
        </w:rPr>
        <w:t>ho</w:t>
      </w:r>
      <w:r w:rsidRPr="00B85480">
        <w:rPr>
          <w:rFonts w:ascii="Arial" w:hAnsi="Arial" w:cs="Arial"/>
          <w:sz w:val="20"/>
        </w:rPr>
        <w:t xml:space="preserve"> část</w:t>
      </w:r>
      <w:r>
        <w:rPr>
          <w:rFonts w:ascii="Arial" w:hAnsi="Arial" w:cs="Arial"/>
          <w:sz w:val="20"/>
        </w:rPr>
        <w:t>i</w:t>
      </w:r>
      <w:r w:rsidRPr="00B85480">
        <w:rPr>
          <w:rFonts w:ascii="Arial" w:hAnsi="Arial" w:cs="Arial"/>
          <w:sz w:val="20"/>
        </w:rPr>
        <w:t xml:space="preserve"> písemnou výpovědí s</w:t>
      </w:r>
      <w:r>
        <w:rPr>
          <w:rFonts w:ascii="Arial" w:hAnsi="Arial" w:cs="Arial"/>
          <w:sz w:val="20"/>
        </w:rPr>
        <w:t> </w:t>
      </w:r>
      <w:r w:rsidRPr="002A1D9C">
        <w:rPr>
          <w:rFonts w:ascii="Arial" w:hAnsi="Arial" w:cs="Arial"/>
          <w:sz w:val="20"/>
        </w:rPr>
        <w:t>jednoměsíční</w:t>
      </w:r>
      <w:r w:rsidRPr="00B85480">
        <w:rPr>
          <w:rFonts w:ascii="Arial" w:hAnsi="Arial" w:cs="Arial"/>
          <w:sz w:val="20"/>
        </w:rPr>
        <w:t xml:space="preserve"> výpovědní lhůtou, která běží ode dne doručení výpovědi </w:t>
      </w:r>
      <w:r>
        <w:rPr>
          <w:rFonts w:ascii="Arial" w:hAnsi="Arial" w:cs="Arial"/>
          <w:sz w:val="20"/>
        </w:rPr>
        <w:t>Z</w:t>
      </w:r>
      <w:r w:rsidRPr="00B85480">
        <w:rPr>
          <w:rFonts w:ascii="Arial" w:hAnsi="Arial" w:cs="Arial"/>
          <w:sz w:val="20"/>
        </w:rPr>
        <w:t xml:space="preserve">hotoviteli. V případě ukončení </w:t>
      </w:r>
      <w:r>
        <w:rPr>
          <w:rFonts w:ascii="Arial" w:hAnsi="Arial" w:cs="Arial"/>
          <w:sz w:val="20"/>
        </w:rPr>
        <w:t>S</w:t>
      </w:r>
      <w:r w:rsidRPr="00B85480">
        <w:rPr>
          <w:rFonts w:ascii="Arial" w:hAnsi="Arial" w:cs="Arial"/>
          <w:sz w:val="20"/>
        </w:rPr>
        <w:t xml:space="preserve">mlouvy výpovědí </w:t>
      </w:r>
      <w:r>
        <w:rPr>
          <w:rFonts w:ascii="Arial" w:hAnsi="Arial" w:cs="Arial"/>
          <w:sz w:val="20"/>
        </w:rPr>
        <w:t>Objednatele</w:t>
      </w:r>
      <w:r w:rsidRPr="00B85480"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sz w:val="20"/>
        </w:rPr>
        <w:t>Objednatel</w:t>
      </w:r>
      <w:r w:rsidRPr="00B85480">
        <w:rPr>
          <w:rFonts w:ascii="Arial" w:hAnsi="Arial" w:cs="Arial"/>
          <w:sz w:val="20"/>
        </w:rPr>
        <w:t xml:space="preserve"> povinen uhradit </w:t>
      </w:r>
      <w:r>
        <w:rPr>
          <w:rFonts w:ascii="Arial" w:hAnsi="Arial" w:cs="Arial"/>
          <w:sz w:val="20"/>
        </w:rPr>
        <w:t>Z</w:t>
      </w:r>
      <w:r w:rsidRPr="00B85480">
        <w:rPr>
          <w:rFonts w:ascii="Arial" w:hAnsi="Arial" w:cs="Arial"/>
          <w:sz w:val="20"/>
        </w:rPr>
        <w:t xml:space="preserve">hotoviteli prokázanou rozpracovanost plnění </w:t>
      </w:r>
      <w:r>
        <w:rPr>
          <w:rFonts w:ascii="Arial" w:hAnsi="Arial" w:cs="Arial"/>
          <w:sz w:val="20"/>
        </w:rPr>
        <w:t>Díla.</w:t>
      </w:r>
    </w:p>
    <w:p w:rsidR="002A1D9C" w:rsidRPr="00B85480" w:rsidRDefault="002A1D9C" w:rsidP="005D6C87">
      <w:pPr>
        <w:pStyle w:val="Nadpis2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Každá </w:t>
      </w:r>
      <w:r w:rsidRPr="00B85480">
        <w:rPr>
          <w:rFonts w:ascii="Arial" w:hAnsi="Arial" w:cs="Arial"/>
          <w:sz w:val="20"/>
        </w:rPr>
        <w:t xml:space="preserve">ze smluvních stran má právo od </w:t>
      </w:r>
      <w:r>
        <w:rPr>
          <w:rFonts w:ascii="Arial" w:hAnsi="Arial" w:cs="Arial"/>
          <w:sz w:val="20"/>
        </w:rPr>
        <w:t>S</w:t>
      </w:r>
      <w:r w:rsidRPr="00B85480">
        <w:rPr>
          <w:rFonts w:ascii="Arial" w:hAnsi="Arial" w:cs="Arial"/>
          <w:sz w:val="20"/>
        </w:rPr>
        <w:t xml:space="preserve">mlouvy písemně odstoupit, jestliže druhá </w:t>
      </w:r>
      <w:r>
        <w:rPr>
          <w:rFonts w:ascii="Arial" w:hAnsi="Arial" w:cs="Arial"/>
          <w:sz w:val="20"/>
        </w:rPr>
        <w:t>S</w:t>
      </w:r>
      <w:r w:rsidRPr="00B85480">
        <w:rPr>
          <w:rFonts w:ascii="Arial" w:hAnsi="Arial" w:cs="Arial"/>
          <w:sz w:val="20"/>
        </w:rPr>
        <w:t xml:space="preserve">mluvní strana nesplní povinnost, kterou podle </w:t>
      </w:r>
      <w:r>
        <w:rPr>
          <w:rFonts w:ascii="Arial" w:hAnsi="Arial" w:cs="Arial"/>
          <w:sz w:val="20"/>
        </w:rPr>
        <w:t>S</w:t>
      </w:r>
      <w:r w:rsidRPr="00B85480">
        <w:rPr>
          <w:rFonts w:ascii="Arial" w:hAnsi="Arial" w:cs="Arial"/>
          <w:sz w:val="20"/>
        </w:rPr>
        <w:t>mlouvy a/nebo zákona má, a to ani v přiměř</w:t>
      </w:r>
      <w:r>
        <w:rPr>
          <w:rFonts w:ascii="Arial" w:hAnsi="Arial" w:cs="Arial"/>
          <w:sz w:val="20"/>
        </w:rPr>
        <w:t>ené dodatečné lhůtě stanovené jí</w:t>
      </w:r>
      <w:r w:rsidRPr="00B85480">
        <w:rPr>
          <w:rFonts w:ascii="Arial" w:hAnsi="Arial" w:cs="Arial"/>
          <w:sz w:val="20"/>
        </w:rPr>
        <w:t xml:space="preserve"> druhou stranou ve výzvě ke splnění. </w:t>
      </w:r>
    </w:p>
    <w:p w:rsidR="002A1D9C" w:rsidRDefault="002A1D9C" w:rsidP="005D6C87">
      <w:pPr>
        <w:pStyle w:val="Nadpis2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B85480">
        <w:rPr>
          <w:rFonts w:ascii="Arial" w:hAnsi="Arial" w:cs="Arial"/>
          <w:sz w:val="20"/>
        </w:rPr>
        <w:t xml:space="preserve">Účinnost </w:t>
      </w:r>
      <w:r>
        <w:rPr>
          <w:rFonts w:ascii="Arial" w:hAnsi="Arial" w:cs="Arial"/>
          <w:sz w:val="20"/>
        </w:rPr>
        <w:t>S</w:t>
      </w:r>
      <w:r w:rsidRPr="00B85480">
        <w:rPr>
          <w:rFonts w:ascii="Arial" w:hAnsi="Arial" w:cs="Arial"/>
          <w:sz w:val="20"/>
        </w:rPr>
        <w:t>mlouvy lze dále ukončit písemnou dohodou</w:t>
      </w:r>
      <w:r>
        <w:rPr>
          <w:rFonts w:ascii="Arial" w:hAnsi="Arial" w:cs="Arial"/>
          <w:sz w:val="20"/>
        </w:rPr>
        <w:t xml:space="preserve"> S</w:t>
      </w:r>
      <w:r w:rsidRPr="00B85480">
        <w:rPr>
          <w:rFonts w:ascii="Arial" w:hAnsi="Arial" w:cs="Arial"/>
          <w:sz w:val="20"/>
        </w:rPr>
        <w:t>mluvních stran, jejíž součástí bude i</w:t>
      </w:r>
      <w:r>
        <w:rPr>
          <w:rFonts w:ascii="Arial" w:hAnsi="Arial" w:cs="Arial"/>
          <w:sz w:val="20"/>
        </w:rPr>
        <w:t> </w:t>
      </w:r>
      <w:r w:rsidRPr="00B85480">
        <w:rPr>
          <w:rFonts w:ascii="Arial" w:hAnsi="Arial" w:cs="Arial"/>
          <w:sz w:val="20"/>
        </w:rPr>
        <w:t>vypořádání vzájemných závazků a pohledávek</w:t>
      </w:r>
      <w:r>
        <w:rPr>
          <w:rFonts w:ascii="Arial" w:hAnsi="Arial" w:cs="Arial"/>
          <w:sz w:val="20"/>
        </w:rPr>
        <w:t>.</w:t>
      </w:r>
    </w:p>
    <w:p w:rsidR="002A1D9C" w:rsidRDefault="002A1D9C" w:rsidP="005D6C87">
      <w:pPr>
        <w:pStyle w:val="Nadpis2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>Účinnost odstoupení od Smlouvy nastává dnem doručení písemného oznámení Zhotoviteli, a</w:t>
      </w:r>
      <w:r>
        <w:rPr>
          <w:rFonts w:ascii="Arial" w:hAnsi="Arial" w:cs="Arial"/>
          <w:sz w:val="20"/>
        </w:rPr>
        <w:t> </w:t>
      </w:r>
      <w:r w:rsidRPr="001007EF">
        <w:rPr>
          <w:rFonts w:ascii="Arial" w:hAnsi="Arial" w:cs="Arial"/>
          <w:sz w:val="20"/>
        </w:rPr>
        <w:t xml:space="preserve">to </w:t>
      </w:r>
      <w:r w:rsidRPr="002A1D9C">
        <w:rPr>
          <w:rFonts w:ascii="Arial" w:hAnsi="Arial" w:cs="Arial"/>
          <w:sz w:val="20"/>
        </w:rPr>
        <w:t>doporučeným dopisem/datovou schránkou</w:t>
      </w:r>
      <w:r>
        <w:rPr>
          <w:rFonts w:ascii="Arial" w:hAnsi="Arial" w:cs="Arial"/>
          <w:sz w:val="20"/>
        </w:rPr>
        <w:t>.</w:t>
      </w:r>
    </w:p>
    <w:p w:rsidR="00C8551F" w:rsidRPr="002A1D9C" w:rsidRDefault="002A1D9C" w:rsidP="005D6C87">
      <w:pPr>
        <w:pStyle w:val="Nadpis2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>Odstoupením od Smlouvy nezanikají povinnosti Smluvních stran k náhradě škody a k úhradě smluvních pokut za závazky, které byly porušeny některou ze Smluvních stran před doručením oznámení o odstoupení a dále ty závazky, které mají vzhledem ke své povaze trvat i po skončení Smlouvy</w:t>
      </w:r>
      <w:r>
        <w:rPr>
          <w:rFonts w:ascii="Arial" w:hAnsi="Arial" w:cs="Arial"/>
          <w:sz w:val="20"/>
        </w:rPr>
        <w:t>.</w:t>
      </w:r>
    </w:p>
    <w:p w:rsidR="00C8551F" w:rsidRPr="001007EF" w:rsidRDefault="00C8551F" w:rsidP="005D6C87">
      <w:pPr>
        <w:pStyle w:val="Nadpis1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60" w:lineRule="atLeast"/>
        <w:ind w:left="181" w:hanging="221"/>
        <w:jc w:val="center"/>
        <w:textAlignment w:val="baseline"/>
        <w:rPr>
          <w:rFonts w:ascii="Arial" w:hAnsi="Arial" w:cs="Arial"/>
        </w:rPr>
      </w:pPr>
      <w:r w:rsidRPr="001007EF">
        <w:rPr>
          <w:rFonts w:ascii="Arial" w:hAnsi="Arial" w:cs="Arial"/>
        </w:rPr>
        <w:t>závěrečná ustanovení</w:t>
      </w:r>
    </w:p>
    <w:p w:rsidR="00C8551F" w:rsidRPr="001007EF" w:rsidRDefault="00C8551F" w:rsidP="005D6C87">
      <w:pPr>
        <w:pStyle w:val="Nadpis2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>Práva a povinnosti Smluvních stran vzniklé na základě Smlouvy nebo v souvislosti se Smlouvou se řídí právními předpisy České republiky</w:t>
      </w:r>
      <w:r w:rsidR="00351E85">
        <w:rPr>
          <w:rFonts w:ascii="Arial" w:hAnsi="Arial" w:cs="Arial"/>
          <w:sz w:val="20"/>
        </w:rPr>
        <w:t>.</w:t>
      </w:r>
    </w:p>
    <w:p w:rsidR="00F52838" w:rsidRPr="00EA4F51" w:rsidRDefault="00C8551F" w:rsidP="005D6C87">
      <w:pPr>
        <w:pStyle w:val="Nadpis2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 xml:space="preserve">Pokud se jakékoliv ustanovení Smlouvy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 </w:t>
      </w:r>
    </w:p>
    <w:p w:rsidR="00C8551F" w:rsidRPr="001007EF" w:rsidRDefault="00C8551F" w:rsidP="005D6C87">
      <w:pPr>
        <w:pStyle w:val="Nadpis2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 xml:space="preserve">Smlouvu je možné měnit pouze písemně, a to formou vzestupně číslovaných dodatků podepsaných oprávněnými zástupci obou Smluvních stran. </w:t>
      </w:r>
    </w:p>
    <w:p w:rsidR="00C8551F" w:rsidRPr="001007EF" w:rsidRDefault="00C8551F" w:rsidP="005D6C87">
      <w:pPr>
        <w:pStyle w:val="Nadpis2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 xml:space="preserve">Smluvní strany se zavazují řešit veškeré spory vzniklé na základě Smlouvy nebo v souvislosti s ní především dohodou; není-li dohoda </w:t>
      </w:r>
      <w:r w:rsidRPr="00351339">
        <w:rPr>
          <w:rFonts w:ascii="Arial" w:hAnsi="Arial" w:cs="Arial"/>
          <w:sz w:val="20"/>
        </w:rPr>
        <w:t>ani do</w:t>
      </w:r>
      <w:r w:rsidR="00351E85" w:rsidRPr="00351339">
        <w:rPr>
          <w:rFonts w:ascii="Arial" w:hAnsi="Arial" w:cs="Arial"/>
          <w:sz w:val="20"/>
        </w:rPr>
        <w:t xml:space="preserve"> 30</w:t>
      </w:r>
      <w:r w:rsidRPr="00351339">
        <w:rPr>
          <w:rFonts w:ascii="Arial" w:hAnsi="Arial" w:cs="Arial"/>
          <w:sz w:val="20"/>
        </w:rPr>
        <w:t xml:space="preserve"> </w:t>
      </w:r>
      <w:r w:rsidR="00351E85" w:rsidRPr="00351339">
        <w:rPr>
          <w:rFonts w:ascii="Arial" w:hAnsi="Arial" w:cs="Arial"/>
          <w:sz w:val="20"/>
        </w:rPr>
        <w:t>(</w:t>
      </w:r>
      <w:r w:rsidRPr="00351339">
        <w:rPr>
          <w:rFonts w:ascii="Arial" w:hAnsi="Arial" w:cs="Arial"/>
          <w:sz w:val="20"/>
        </w:rPr>
        <w:t>třiceti</w:t>
      </w:r>
      <w:r w:rsidR="007825FC" w:rsidRPr="00351339">
        <w:rPr>
          <w:rFonts w:ascii="Arial" w:hAnsi="Arial" w:cs="Arial"/>
          <w:sz w:val="20"/>
        </w:rPr>
        <w:t xml:space="preserve">) </w:t>
      </w:r>
      <w:r w:rsidRPr="00351339">
        <w:rPr>
          <w:rFonts w:ascii="Arial" w:hAnsi="Arial" w:cs="Arial"/>
          <w:sz w:val="20"/>
        </w:rPr>
        <w:t>dnů</w:t>
      </w:r>
      <w:r w:rsidRPr="001007EF">
        <w:rPr>
          <w:rFonts w:ascii="Arial" w:hAnsi="Arial" w:cs="Arial"/>
          <w:sz w:val="20"/>
        </w:rPr>
        <w:t xml:space="preserve"> od předložení sporu ke smírnému řešení jednou Smluvní stranu druhé Smluvní straně, budou rozhodovány příslušnými obecnými soudy České republiky.</w:t>
      </w:r>
    </w:p>
    <w:p w:rsidR="00C8551F" w:rsidRDefault="00C8551F" w:rsidP="005D6C87">
      <w:pPr>
        <w:pStyle w:val="Nadpis2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>Smlouva nabývá platnosti dnem podpisu oběma Smluvními stranami</w:t>
      </w:r>
      <w:r w:rsidR="001E07C8">
        <w:rPr>
          <w:rFonts w:ascii="Arial" w:hAnsi="Arial" w:cs="Arial"/>
          <w:sz w:val="20"/>
        </w:rPr>
        <w:t xml:space="preserve"> a účinnosti dnem jejího uveřejnění v registru smluv</w:t>
      </w:r>
      <w:r w:rsidRPr="001007EF">
        <w:rPr>
          <w:rFonts w:ascii="Arial" w:hAnsi="Arial" w:cs="Arial"/>
          <w:sz w:val="20"/>
        </w:rPr>
        <w:t>.</w:t>
      </w:r>
    </w:p>
    <w:p w:rsidR="001E07C8" w:rsidRPr="001007EF" w:rsidRDefault="001E07C8" w:rsidP="005D6C87">
      <w:pPr>
        <w:pStyle w:val="Nadpis2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E07C8">
        <w:rPr>
          <w:rFonts w:ascii="Arial" w:hAnsi="Arial" w:cs="Arial"/>
          <w:sz w:val="20"/>
        </w:rPr>
        <w:t xml:space="preserve">Smluvní strany berou na vědomí, že tato smlouva včetně případných budoucích dodatků bude uveřejněna v souladu s ustanoveními zák. č. 340/2015 Sb., o registru smluv. Smlouvu v registru smluv uveřejní </w:t>
      </w:r>
      <w:r>
        <w:rPr>
          <w:rFonts w:ascii="Arial" w:hAnsi="Arial" w:cs="Arial"/>
          <w:sz w:val="20"/>
        </w:rPr>
        <w:t>zhotovite</w:t>
      </w:r>
      <w:r w:rsidRPr="001E07C8">
        <w:rPr>
          <w:rFonts w:ascii="Arial" w:hAnsi="Arial" w:cs="Arial"/>
          <w:sz w:val="20"/>
        </w:rPr>
        <w:t xml:space="preserve">l. </w:t>
      </w:r>
      <w:r>
        <w:rPr>
          <w:rFonts w:ascii="Arial" w:hAnsi="Arial" w:cs="Arial"/>
          <w:sz w:val="20"/>
        </w:rPr>
        <w:t>Objednat</w:t>
      </w:r>
      <w:r w:rsidRPr="001E07C8">
        <w:rPr>
          <w:rFonts w:ascii="Arial" w:hAnsi="Arial" w:cs="Arial"/>
          <w:sz w:val="20"/>
        </w:rPr>
        <w:t>el prohlašuje, že tato smlouva neobsahuje jeho obchodní tajemstv</w:t>
      </w:r>
      <w:r>
        <w:rPr>
          <w:rFonts w:ascii="Arial" w:hAnsi="Arial" w:cs="Arial"/>
          <w:sz w:val="20"/>
        </w:rPr>
        <w:t>í, osobní údaje osob na straně objedna</w:t>
      </w:r>
      <w:r w:rsidRPr="001E07C8">
        <w:rPr>
          <w:rFonts w:ascii="Arial" w:hAnsi="Arial" w:cs="Arial"/>
          <w:sz w:val="20"/>
        </w:rPr>
        <w:t>tele, které by nebylo možno uveřejnit, utajované skutečnosti ve smyslu ustanovení zák. č. 412/2005 Sb., o ochraně utajovaných skutečností, ani jiné informace či skutečnosti, které by nebylo možno uveřejnit.</w:t>
      </w:r>
    </w:p>
    <w:p w:rsidR="00C8551F" w:rsidRPr="001007EF" w:rsidRDefault="003F08F4" w:rsidP="005D6C87">
      <w:pPr>
        <w:pStyle w:val="Nadpis2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Nedílnou součástí této </w:t>
      </w:r>
      <w:r w:rsidR="00C8551F" w:rsidRPr="001007EF">
        <w:rPr>
          <w:rFonts w:ascii="Arial" w:hAnsi="Arial" w:cs="Arial"/>
          <w:sz w:val="20"/>
        </w:rPr>
        <w:t>Smlouvy jsou:</w:t>
      </w:r>
    </w:p>
    <w:p w:rsidR="00C8551F" w:rsidRDefault="00C8551F" w:rsidP="003B29C3">
      <w:pPr>
        <w:pStyle w:val="Nadpis2"/>
        <w:numPr>
          <w:ilvl w:val="0"/>
          <w:numId w:val="3"/>
        </w:numPr>
        <w:spacing w:before="120" w:line="260" w:lineRule="atLeast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lastRenderedPageBreak/>
        <w:t xml:space="preserve">Příloha č. 1 – </w:t>
      </w:r>
      <w:r w:rsidR="003B29C3" w:rsidRPr="003B29C3">
        <w:rPr>
          <w:rFonts w:ascii="Arial" w:hAnsi="Arial" w:cs="Arial"/>
          <w:sz w:val="20"/>
        </w:rPr>
        <w:t>Metodika a postup zpracování SECAP</w:t>
      </w:r>
    </w:p>
    <w:p w:rsidR="00C8551F" w:rsidRPr="00351339" w:rsidRDefault="00C8551F" w:rsidP="005D6C87">
      <w:pPr>
        <w:pStyle w:val="Nadpis2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line="240" w:lineRule="auto"/>
        <w:ind w:left="680" w:hanging="680"/>
        <w:textAlignment w:val="baseline"/>
        <w:rPr>
          <w:rFonts w:ascii="Arial" w:hAnsi="Arial" w:cs="Arial"/>
          <w:sz w:val="20"/>
        </w:rPr>
      </w:pPr>
      <w:r w:rsidRPr="001007EF">
        <w:rPr>
          <w:rFonts w:ascii="Arial" w:hAnsi="Arial" w:cs="Arial"/>
          <w:sz w:val="20"/>
        </w:rPr>
        <w:t xml:space="preserve">Smlouva je </w:t>
      </w:r>
      <w:r w:rsidRPr="00351339">
        <w:rPr>
          <w:rFonts w:ascii="Arial" w:hAnsi="Arial" w:cs="Arial"/>
          <w:sz w:val="20"/>
        </w:rPr>
        <w:t xml:space="preserve">vyhotovena ve </w:t>
      </w:r>
      <w:r w:rsidR="005544C7">
        <w:rPr>
          <w:rFonts w:ascii="Arial" w:hAnsi="Arial" w:cs="Arial"/>
          <w:sz w:val="20"/>
        </w:rPr>
        <w:t>dvou</w:t>
      </w:r>
      <w:r w:rsidRPr="00351339">
        <w:rPr>
          <w:rFonts w:ascii="Arial" w:hAnsi="Arial" w:cs="Arial"/>
          <w:sz w:val="20"/>
        </w:rPr>
        <w:t xml:space="preserve"> stejnopisech s platností originálu, přičemž </w:t>
      </w:r>
      <w:r w:rsidR="005544C7">
        <w:rPr>
          <w:rFonts w:ascii="Arial" w:hAnsi="Arial" w:cs="Arial"/>
          <w:sz w:val="20"/>
        </w:rPr>
        <w:t>jeden stejnopis</w:t>
      </w:r>
      <w:r w:rsidRPr="00351339">
        <w:rPr>
          <w:rFonts w:ascii="Arial" w:hAnsi="Arial" w:cs="Arial"/>
          <w:sz w:val="20"/>
        </w:rPr>
        <w:t xml:space="preserve"> obdrží </w:t>
      </w:r>
      <w:r w:rsidR="001D6A03" w:rsidRPr="00351339">
        <w:rPr>
          <w:rFonts w:ascii="Arial" w:hAnsi="Arial" w:cs="Arial"/>
          <w:sz w:val="20"/>
        </w:rPr>
        <w:t>O</w:t>
      </w:r>
      <w:r w:rsidR="00CB04EE" w:rsidRPr="00351339">
        <w:rPr>
          <w:rFonts w:ascii="Arial" w:hAnsi="Arial" w:cs="Arial"/>
          <w:sz w:val="20"/>
        </w:rPr>
        <w:t xml:space="preserve">bjednatel a jeden </w:t>
      </w:r>
      <w:r w:rsidR="001D6A03" w:rsidRPr="00351339">
        <w:rPr>
          <w:rFonts w:ascii="Arial" w:hAnsi="Arial" w:cs="Arial"/>
          <w:sz w:val="20"/>
        </w:rPr>
        <w:t>Z</w:t>
      </w:r>
      <w:r w:rsidR="00CB04EE" w:rsidRPr="00351339">
        <w:rPr>
          <w:rFonts w:ascii="Arial" w:hAnsi="Arial" w:cs="Arial"/>
          <w:sz w:val="20"/>
        </w:rPr>
        <w:t>hotovitel</w:t>
      </w:r>
      <w:r w:rsidRPr="00351339">
        <w:rPr>
          <w:rFonts w:ascii="Arial" w:hAnsi="Arial" w:cs="Arial"/>
          <w:sz w:val="20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C8551F" w:rsidRPr="001007EF">
        <w:tc>
          <w:tcPr>
            <w:tcW w:w="4527" w:type="dxa"/>
          </w:tcPr>
          <w:p w:rsidR="00745C0D" w:rsidRDefault="00745C0D" w:rsidP="007825FC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551F" w:rsidRPr="001007EF" w:rsidRDefault="00C8551F" w:rsidP="007825FC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1007EF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  <w:p w:rsidR="00C8551F" w:rsidRPr="001007EF" w:rsidRDefault="00C8551F" w:rsidP="007825FC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C8551F" w:rsidRDefault="00C8551F" w:rsidP="007825FC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1007EF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544C7">
              <w:rPr>
                <w:rFonts w:ascii="Arial" w:hAnsi="Arial" w:cs="Arial"/>
                <w:sz w:val="20"/>
                <w:szCs w:val="20"/>
              </w:rPr>
              <w:t>Praze</w:t>
            </w:r>
            <w:r w:rsidRPr="001007EF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C10B0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C10B0C">
              <w:rPr>
                <w:rFonts w:ascii="Arial" w:hAnsi="Arial" w:cs="Arial"/>
                <w:sz w:val="20"/>
                <w:szCs w:val="20"/>
              </w:rPr>
              <w:t>09.07.2018</w:t>
            </w:r>
            <w:proofErr w:type="gramEnd"/>
          </w:p>
          <w:p w:rsidR="00C737D2" w:rsidRPr="001007EF" w:rsidRDefault="00C737D2" w:rsidP="007825FC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bookmarkEnd w:id="4"/>
          </w:p>
          <w:p w:rsidR="00CA15C5" w:rsidRDefault="00CA15C5" w:rsidP="00CA15C5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C737D2" w:rsidRPr="001007EF" w:rsidRDefault="00C737D2" w:rsidP="00CA15C5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:rsidR="00EA4F51" w:rsidRDefault="00EA4F51" w:rsidP="007825FC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551F" w:rsidRPr="001007EF" w:rsidRDefault="00C8551F" w:rsidP="007825FC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1007EF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  <w:p w:rsidR="00C8551F" w:rsidRPr="001007EF" w:rsidRDefault="00C8551F" w:rsidP="007825FC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C8551F" w:rsidRPr="007825FC" w:rsidRDefault="00C8551F" w:rsidP="007825FC">
            <w:pPr>
              <w:pStyle w:val="Textkomente"/>
              <w:spacing w:after="0" w:line="260" w:lineRule="atLeast"/>
              <w:rPr>
                <w:rFonts w:ascii="Arial" w:hAnsi="Arial" w:cs="Arial"/>
              </w:rPr>
            </w:pPr>
            <w:r w:rsidRPr="007825FC">
              <w:rPr>
                <w:rFonts w:ascii="Arial" w:hAnsi="Arial" w:cs="Arial"/>
              </w:rPr>
              <w:t xml:space="preserve">V </w:t>
            </w:r>
            <w:r w:rsidR="005544C7">
              <w:rPr>
                <w:rFonts w:ascii="Arial" w:hAnsi="Arial" w:cs="Arial"/>
                <w:color w:val="000000" w:themeColor="text1"/>
              </w:rPr>
              <w:t>Brně</w:t>
            </w:r>
            <w:r w:rsidRPr="007825FC">
              <w:rPr>
                <w:rFonts w:ascii="Arial" w:hAnsi="Arial" w:cs="Arial"/>
              </w:rPr>
              <w:t xml:space="preserve"> dne</w:t>
            </w:r>
            <w:r w:rsidR="00C10B0C">
              <w:rPr>
                <w:rFonts w:ascii="Arial" w:hAnsi="Arial" w:cs="Arial"/>
              </w:rPr>
              <w:t xml:space="preserve">  </w:t>
            </w:r>
            <w:proofErr w:type="gramStart"/>
            <w:r w:rsidR="00C10B0C">
              <w:rPr>
                <w:rFonts w:ascii="Arial" w:hAnsi="Arial" w:cs="Arial"/>
              </w:rPr>
              <w:t>02.07.2018</w:t>
            </w:r>
            <w:proofErr w:type="gramEnd"/>
          </w:p>
          <w:p w:rsidR="00C8551F" w:rsidRDefault="00C8551F" w:rsidP="00E57235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CA15C5" w:rsidRDefault="00CA15C5" w:rsidP="008F2A64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15C5" w:rsidRPr="001007EF" w:rsidRDefault="00CA15C5" w:rsidP="008F2A64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1F" w:rsidRPr="001007EF">
        <w:tc>
          <w:tcPr>
            <w:tcW w:w="4527" w:type="dxa"/>
          </w:tcPr>
          <w:p w:rsidR="00C8551F" w:rsidRPr="005544C7" w:rsidRDefault="00C8551F" w:rsidP="008F2A64">
            <w:pPr>
              <w:spacing w:after="0" w:line="26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44C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</w:t>
            </w:r>
          </w:p>
          <w:p w:rsidR="005544C7" w:rsidRPr="005544C7" w:rsidRDefault="005544C7" w:rsidP="005544C7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544C7">
              <w:rPr>
                <w:rFonts w:ascii="Arial" w:hAnsi="Arial" w:cs="Arial"/>
                <w:sz w:val="20"/>
                <w:szCs w:val="20"/>
                <w:lang w:eastAsia="cs-CZ"/>
              </w:rPr>
              <w:t>Ing. Jaroslav Vích, jednatel</w:t>
            </w:r>
          </w:p>
          <w:p w:rsidR="00C8551F" w:rsidRPr="005544C7" w:rsidRDefault="005544C7" w:rsidP="005544C7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4C7">
              <w:rPr>
                <w:rFonts w:ascii="Arial" w:hAnsi="Arial" w:cs="Arial"/>
                <w:sz w:val="20"/>
                <w:szCs w:val="20"/>
                <w:lang w:eastAsia="cs-CZ"/>
              </w:rPr>
              <w:t xml:space="preserve">ENVIROS, </w:t>
            </w:r>
            <w:proofErr w:type="spellStart"/>
            <w:r w:rsidRPr="005544C7">
              <w:rPr>
                <w:rFonts w:ascii="Arial" w:hAnsi="Arial" w:cs="Arial"/>
                <w:sz w:val="20"/>
                <w:szCs w:val="20"/>
                <w:lang w:eastAsia="cs-CZ"/>
              </w:rPr>
              <w:t>s.r.o</w:t>
            </w:r>
            <w:proofErr w:type="spellEnd"/>
            <w:r w:rsidR="00C8551F" w:rsidRPr="005544C7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527" w:type="dxa"/>
          </w:tcPr>
          <w:p w:rsidR="00C8551F" w:rsidRPr="005544C7" w:rsidRDefault="00C8551F" w:rsidP="008F2A64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4C7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:rsidR="007825FC" w:rsidRDefault="004F509A" w:rsidP="004F509A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F509A">
              <w:rPr>
                <w:rFonts w:ascii="Arial" w:hAnsi="Arial" w:cs="Arial"/>
                <w:sz w:val="20"/>
                <w:szCs w:val="20"/>
                <w:lang w:eastAsia="cs-CZ"/>
              </w:rPr>
              <w:t>Ing. Jindřich Frič, Ph.D.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, ředitel</w:t>
            </w:r>
          </w:p>
          <w:p w:rsidR="004F509A" w:rsidRPr="001007EF" w:rsidRDefault="004F509A" w:rsidP="004F509A">
            <w:pPr>
              <w:spacing w:after="0" w:line="26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Centrum dopravního výzkum</w:t>
            </w:r>
            <w:r w:rsidR="005D37CB">
              <w:rPr>
                <w:rFonts w:ascii="Arial" w:hAnsi="Arial" w:cs="Arial"/>
                <w:sz w:val="20"/>
                <w:szCs w:val="20"/>
                <w:lang w:eastAsia="cs-CZ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, v.</w:t>
            </w:r>
            <w:r w:rsidR="005D37C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v.</w:t>
            </w:r>
            <w:r w:rsidR="005D37C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i.</w:t>
            </w:r>
          </w:p>
        </w:tc>
      </w:tr>
    </w:tbl>
    <w:p w:rsidR="00572DEE" w:rsidRDefault="00572DEE" w:rsidP="0079351C">
      <w:pPr>
        <w:pStyle w:val="Nadpis2"/>
        <w:numPr>
          <w:ilvl w:val="0"/>
          <w:numId w:val="0"/>
        </w:numPr>
        <w:spacing w:line="260" w:lineRule="atLeast"/>
        <w:rPr>
          <w:rFonts w:ascii="Arial" w:hAnsi="Arial" w:cs="Arial"/>
          <w:i/>
          <w:sz w:val="20"/>
          <w:lang w:eastAsia="en-US"/>
        </w:rPr>
        <w:sectPr w:rsidR="00572DEE" w:rsidSect="00427281">
          <w:headerReference w:type="default" r:id="rId9"/>
          <w:footerReference w:type="default" r:id="rId10"/>
          <w:footerReference w:type="first" r:id="rId11"/>
          <w:pgSz w:w="11906" w:h="16838" w:code="9"/>
          <w:pgMar w:top="1560" w:right="1418" w:bottom="1276" w:left="1418" w:header="709" w:footer="272" w:gutter="0"/>
          <w:cols w:space="708"/>
          <w:docGrid w:linePitch="360"/>
        </w:sectPr>
      </w:pPr>
    </w:p>
    <w:p w:rsidR="00C8551F" w:rsidRPr="001007EF" w:rsidRDefault="0079351C" w:rsidP="0079351C">
      <w:pPr>
        <w:pStyle w:val="Nadpis2"/>
        <w:numPr>
          <w:ilvl w:val="0"/>
          <w:numId w:val="0"/>
        </w:numPr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lang w:eastAsia="en-US"/>
        </w:rPr>
        <w:lastRenderedPageBreak/>
        <w:t xml:space="preserve"> </w:t>
      </w:r>
      <w:r w:rsidR="00C8551F" w:rsidRPr="001007EF">
        <w:rPr>
          <w:rFonts w:ascii="Arial" w:hAnsi="Arial" w:cs="Arial"/>
          <w:sz w:val="20"/>
        </w:rPr>
        <w:t xml:space="preserve">Příloha č. 1 </w:t>
      </w:r>
    </w:p>
    <w:p w:rsidR="00C8551F" w:rsidRPr="00867B6E" w:rsidRDefault="00C8551F" w:rsidP="00867B6E">
      <w:pPr>
        <w:pStyle w:val="Nadpis3"/>
        <w:numPr>
          <w:ilvl w:val="0"/>
          <w:numId w:val="0"/>
        </w:numPr>
        <w:spacing w:after="0" w:line="260" w:lineRule="atLeast"/>
        <w:rPr>
          <w:rFonts w:ascii="Arial" w:hAnsi="Arial" w:cs="Arial"/>
          <w:sz w:val="22"/>
          <w:szCs w:val="22"/>
        </w:rPr>
      </w:pPr>
    </w:p>
    <w:p w:rsidR="00D7231C" w:rsidRPr="00427281" w:rsidRDefault="00D7231C" w:rsidP="00D7231C">
      <w:pPr>
        <w:pStyle w:val="Nzev"/>
        <w:rPr>
          <w:rFonts w:ascii="Arial" w:hAnsi="Arial"/>
          <w:color w:val="0070C0"/>
          <w:sz w:val="36"/>
          <w:szCs w:val="36"/>
        </w:rPr>
      </w:pPr>
      <w:r w:rsidRPr="00427281">
        <w:rPr>
          <w:rFonts w:ascii="Arial" w:hAnsi="Arial"/>
          <w:color w:val="0070C0"/>
          <w:sz w:val="36"/>
          <w:szCs w:val="36"/>
        </w:rPr>
        <w:t>Metodika a postup zpracování SECAP</w:t>
      </w:r>
      <w:r>
        <w:rPr>
          <w:rFonts w:ascii="Arial" w:hAnsi="Arial"/>
          <w:color w:val="0070C0"/>
          <w:sz w:val="36"/>
          <w:szCs w:val="36"/>
        </w:rPr>
        <w:t xml:space="preserve"> – oblast dopravy</w:t>
      </w:r>
    </w:p>
    <w:p w:rsidR="00D7231C" w:rsidRPr="00A57997" w:rsidRDefault="00D7231C" w:rsidP="00D7231C">
      <w:pPr>
        <w:pStyle w:val="Nzev"/>
        <w:rPr>
          <w:rFonts w:ascii="Arial" w:hAnsi="Arial"/>
          <w:color w:val="0070C0"/>
          <w:sz w:val="36"/>
          <w:szCs w:val="36"/>
        </w:rPr>
      </w:pPr>
    </w:p>
    <w:p w:rsidR="007274C4" w:rsidRDefault="007274C4" w:rsidP="007274C4">
      <w:pPr>
        <w:spacing w:after="0" w:line="240" w:lineRule="auto"/>
        <w:ind w:left="720"/>
        <w:jc w:val="both"/>
      </w:pPr>
      <w:r>
        <w:t>a)    popis mobilních zdrojů na území města Brna – vozový park, dopravní síť, metodika výpočtuCO2</w:t>
      </w:r>
    </w:p>
    <w:p w:rsidR="007274C4" w:rsidRDefault="007274C4" w:rsidP="007274C4">
      <w:pPr>
        <w:spacing w:after="0" w:line="240" w:lineRule="auto"/>
        <w:ind w:left="720"/>
        <w:jc w:val="both"/>
      </w:pPr>
      <w:r>
        <w:t>b)    výpočet emisí CO2 z dopravy a bilance emisí k roku 2000, 2005, 2010 a 2015 – Vozidla města (služební vozidla, doprava odpadu, policie a sanitky, apod.), Veřejná městská doprava, Osobní a podniková doprava</w:t>
      </w:r>
    </w:p>
    <w:p w:rsidR="007274C4" w:rsidRDefault="007274C4" w:rsidP="007274C4">
      <w:pPr>
        <w:spacing w:after="0" w:line="240" w:lineRule="auto"/>
        <w:ind w:left="720"/>
        <w:jc w:val="both"/>
      </w:pPr>
      <w:r>
        <w:t>c)    prognóza emisí CO2 pro rok 2020 a 2030 dle projednané a schválené metodiky s objednatelem – viz metodika JRC</w:t>
      </w:r>
    </w:p>
    <w:p w:rsidR="007274C4" w:rsidRDefault="007274C4" w:rsidP="007274C4">
      <w:pPr>
        <w:spacing w:after="0" w:line="240" w:lineRule="auto"/>
        <w:ind w:left="720"/>
        <w:jc w:val="both"/>
      </w:pPr>
      <w:r>
        <w:t xml:space="preserve">d)    Porovnání jednotlivých druhů vozidel podle produkce CO2 (EURO, </w:t>
      </w:r>
      <w:proofErr w:type="spellStart"/>
      <w:r>
        <w:t>nízkoemisní</w:t>
      </w:r>
      <w:proofErr w:type="spellEnd"/>
      <w:r>
        <w:t xml:space="preserve"> vozidla, elektrické), slovní zhodnocení, výhody, nevýhody, struktura v Brně</w:t>
      </w:r>
    </w:p>
    <w:p w:rsidR="007274C4" w:rsidRDefault="007274C4" w:rsidP="007274C4">
      <w:pPr>
        <w:spacing w:after="0" w:line="240" w:lineRule="auto"/>
        <w:ind w:left="720"/>
        <w:jc w:val="both"/>
      </w:pPr>
      <w:r>
        <w:t>e)    Vliv plynulosti provozu na emise CO2</w:t>
      </w:r>
    </w:p>
    <w:p w:rsidR="00D7231C" w:rsidRDefault="007274C4" w:rsidP="007274C4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t>f)    Popis opatření ke snížení emisí CO2, jejich přínosy v úspoře CO2, náklady na realizaci vybraných investičních opatření (autobusy CNG, apod.)</w:t>
      </w:r>
    </w:p>
    <w:p w:rsidR="00D7231C" w:rsidRDefault="00D7231C" w:rsidP="00093D75">
      <w:pPr>
        <w:pStyle w:val="Nzev"/>
        <w:rPr>
          <w:rFonts w:ascii="Arial" w:hAnsi="Arial"/>
          <w:color w:val="0070C0"/>
          <w:sz w:val="36"/>
          <w:szCs w:val="36"/>
        </w:rPr>
      </w:pPr>
    </w:p>
    <w:p w:rsidR="00D7231C" w:rsidRDefault="00D7231C" w:rsidP="00093D75">
      <w:pPr>
        <w:pStyle w:val="Nzev"/>
        <w:rPr>
          <w:rFonts w:ascii="Arial" w:hAnsi="Arial"/>
          <w:color w:val="0070C0"/>
          <w:sz w:val="36"/>
          <w:szCs w:val="36"/>
        </w:rPr>
      </w:pPr>
    </w:p>
    <w:p w:rsidR="00093D75" w:rsidRPr="00427281" w:rsidRDefault="00093D75" w:rsidP="00093D75">
      <w:pPr>
        <w:pStyle w:val="Nzev"/>
        <w:rPr>
          <w:rFonts w:ascii="Arial" w:hAnsi="Arial"/>
          <w:color w:val="0070C0"/>
          <w:sz w:val="36"/>
          <w:szCs w:val="36"/>
        </w:rPr>
      </w:pPr>
      <w:r w:rsidRPr="00427281">
        <w:rPr>
          <w:rFonts w:ascii="Arial" w:hAnsi="Arial"/>
          <w:color w:val="0070C0"/>
          <w:sz w:val="36"/>
          <w:szCs w:val="36"/>
        </w:rPr>
        <w:t>Metodika a postup zpracování SECAP</w:t>
      </w:r>
      <w:r w:rsidR="00D7231C">
        <w:rPr>
          <w:rFonts w:ascii="Arial" w:hAnsi="Arial"/>
          <w:color w:val="0070C0"/>
          <w:sz w:val="36"/>
          <w:szCs w:val="36"/>
        </w:rPr>
        <w:t xml:space="preserve"> - obecně</w:t>
      </w:r>
    </w:p>
    <w:p w:rsidR="00427281" w:rsidRDefault="00427281" w:rsidP="00093D75">
      <w:pPr>
        <w:jc w:val="both"/>
        <w:rPr>
          <w:rFonts w:ascii="Arial" w:hAnsi="Arial" w:cs="Arial"/>
          <w:sz w:val="20"/>
          <w:szCs w:val="20"/>
        </w:rPr>
      </w:pPr>
    </w:p>
    <w:p w:rsidR="00093D75" w:rsidRPr="00427281" w:rsidRDefault="00093D75" w:rsidP="00D723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 xml:space="preserve">V rámci zpracování Akčního plánu udržitelné energetiky a adaptace města </w:t>
      </w:r>
      <w:r w:rsidR="002A645D">
        <w:rPr>
          <w:rFonts w:ascii="Arial" w:hAnsi="Arial" w:cs="Arial"/>
          <w:sz w:val="20"/>
          <w:szCs w:val="20"/>
        </w:rPr>
        <w:t>Brna</w:t>
      </w:r>
      <w:r w:rsidRPr="00427281">
        <w:rPr>
          <w:rFonts w:ascii="Arial" w:hAnsi="Arial" w:cs="Arial"/>
          <w:sz w:val="20"/>
          <w:szCs w:val="20"/>
        </w:rPr>
        <w:t xml:space="preserve"> na klimatické změny (SECAP) do roku 2030 budou realizovány následující úkoly:</w:t>
      </w:r>
    </w:p>
    <w:p w:rsidR="00093D75" w:rsidRPr="00427281" w:rsidRDefault="00093D75" w:rsidP="00D7231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Základní inventura emisí CO</w:t>
      </w:r>
      <w:r w:rsidRPr="00427281">
        <w:rPr>
          <w:rFonts w:ascii="Arial" w:hAnsi="Arial" w:cs="Arial"/>
          <w:sz w:val="20"/>
          <w:szCs w:val="20"/>
          <w:vertAlign w:val="subscript"/>
        </w:rPr>
        <w:t>2</w:t>
      </w:r>
      <w:r w:rsidRPr="00427281">
        <w:rPr>
          <w:rFonts w:ascii="Arial" w:hAnsi="Arial" w:cs="Arial"/>
          <w:sz w:val="20"/>
          <w:szCs w:val="20"/>
        </w:rPr>
        <w:t xml:space="preserve"> (BEI)</w:t>
      </w:r>
    </w:p>
    <w:p w:rsidR="00093D75" w:rsidRPr="00427281" w:rsidRDefault="00093D75" w:rsidP="00D7231C">
      <w:pPr>
        <w:numPr>
          <w:ilvl w:val="1"/>
          <w:numId w:val="20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 xml:space="preserve">Analýza současného stavu spotřeby a produkce energie ve městě </w:t>
      </w:r>
      <w:r w:rsidR="002A645D">
        <w:rPr>
          <w:rFonts w:ascii="Arial" w:hAnsi="Arial" w:cs="Arial"/>
          <w:sz w:val="20"/>
          <w:szCs w:val="20"/>
        </w:rPr>
        <w:t>Brně</w:t>
      </w:r>
      <w:r w:rsidRPr="00427281">
        <w:rPr>
          <w:rFonts w:ascii="Arial" w:hAnsi="Arial" w:cs="Arial"/>
          <w:sz w:val="20"/>
          <w:szCs w:val="20"/>
        </w:rPr>
        <w:t xml:space="preserve">. </w:t>
      </w:r>
    </w:p>
    <w:p w:rsidR="00093D75" w:rsidRPr="00427281" w:rsidRDefault="00093D75" w:rsidP="00D7231C">
      <w:pPr>
        <w:numPr>
          <w:ilvl w:val="1"/>
          <w:numId w:val="20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Identifikace úspor a potenciálu OZE.</w:t>
      </w:r>
    </w:p>
    <w:p w:rsidR="00093D75" w:rsidRPr="00427281" w:rsidRDefault="00093D75" w:rsidP="00D7231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Identifikace a zapojení hlavních aktérů SECAP</w:t>
      </w:r>
    </w:p>
    <w:p w:rsidR="00093D75" w:rsidRPr="00427281" w:rsidRDefault="00093D75" w:rsidP="00D7231C">
      <w:pPr>
        <w:numPr>
          <w:ilvl w:val="1"/>
          <w:numId w:val="20"/>
        </w:numPr>
        <w:spacing w:after="0" w:line="240" w:lineRule="auto"/>
        <w:ind w:left="1434" w:hanging="357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Identifikace a zapojení hlavních aktérů při tvorbě SECAP.</w:t>
      </w:r>
    </w:p>
    <w:p w:rsidR="00093D75" w:rsidRPr="00427281" w:rsidRDefault="00093D75" w:rsidP="00D7231C">
      <w:pPr>
        <w:numPr>
          <w:ilvl w:val="1"/>
          <w:numId w:val="20"/>
        </w:numPr>
        <w:spacing w:after="0" w:line="240" w:lineRule="auto"/>
        <w:ind w:left="1434" w:hanging="357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Stanovení způsobu jejich oslovení a participace na tvorbě SECAP.</w:t>
      </w:r>
    </w:p>
    <w:p w:rsidR="00093D75" w:rsidRPr="00427281" w:rsidRDefault="00093D75" w:rsidP="00D7231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Kompletní zpracování SECAP a související dokumentace</w:t>
      </w:r>
    </w:p>
    <w:p w:rsidR="00093D75" w:rsidRPr="00427281" w:rsidRDefault="00093D75" w:rsidP="00D7231C">
      <w:pPr>
        <w:numPr>
          <w:ilvl w:val="1"/>
          <w:numId w:val="20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Návrhová část opatření a nastavení monitorovacího plánu, včetně strategie a aktivit, opatření</w:t>
      </w:r>
      <w:r w:rsidRPr="00427281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27281">
        <w:rPr>
          <w:rFonts w:ascii="Arial" w:hAnsi="Arial" w:cs="Arial"/>
          <w:sz w:val="20"/>
          <w:szCs w:val="20"/>
        </w:rPr>
        <w:t>po celou dobu trvání plánu (dlouhodobá strategie, cíle a závazky do roku 2030, krátkodobé a střednědobé činnosti).</w:t>
      </w:r>
    </w:p>
    <w:p w:rsidR="00093D75" w:rsidRPr="00427281" w:rsidRDefault="00A57997" w:rsidP="00D7231C">
      <w:pPr>
        <w:numPr>
          <w:ilvl w:val="1"/>
          <w:numId w:val="20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93D75" w:rsidRPr="00427281">
        <w:rPr>
          <w:rFonts w:ascii="Arial" w:hAnsi="Arial" w:cs="Arial"/>
          <w:sz w:val="20"/>
          <w:szCs w:val="20"/>
        </w:rPr>
        <w:t xml:space="preserve">pracování akčního plánu udržitelné energetiky v souladu a rozsahem stanoveným metodikou iniciativy Paktu starostů a primátorů (dostupných na webové adrese </w:t>
      </w:r>
      <w:hyperlink r:id="rId12" w:history="1">
        <w:r w:rsidR="00093D75" w:rsidRPr="00427281">
          <w:rPr>
            <w:rStyle w:val="Hypertextovodkaz"/>
            <w:rFonts w:ascii="Arial" w:eastAsiaTheme="majorEastAsia" w:hAnsi="Arial" w:cs="Arial"/>
            <w:sz w:val="20"/>
            <w:szCs w:val="20"/>
          </w:rPr>
          <w:t>http://www.covenantofmayors.eu/Covenant-technical-materials.html</w:t>
        </w:r>
      </w:hyperlink>
      <w:r w:rsidR="00093D75" w:rsidRPr="00427281">
        <w:rPr>
          <w:rFonts w:ascii="Arial" w:hAnsi="Arial" w:cs="Arial"/>
          <w:sz w:val="20"/>
          <w:szCs w:val="20"/>
        </w:rPr>
        <w:t>).</w:t>
      </w:r>
    </w:p>
    <w:p w:rsidR="00093D75" w:rsidRPr="00427281" w:rsidRDefault="00093D75" w:rsidP="00D7231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Vypořádání připomínek z </w:t>
      </w:r>
      <w:proofErr w:type="spellStart"/>
      <w:r w:rsidRPr="00427281">
        <w:rPr>
          <w:rFonts w:ascii="Arial" w:hAnsi="Arial" w:cs="Arial"/>
          <w:sz w:val="20"/>
          <w:szCs w:val="20"/>
        </w:rPr>
        <w:t>CoM</w:t>
      </w:r>
      <w:proofErr w:type="spellEnd"/>
    </w:p>
    <w:p w:rsidR="00093D75" w:rsidRPr="00427281" w:rsidRDefault="00A57997" w:rsidP="00D7231C">
      <w:pPr>
        <w:numPr>
          <w:ilvl w:val="1"/>
          <w:numId w:val="20"/>
        </w:numPr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93D75" w:rsidRPr="00427281">
        <w:rPr>
          <w:rFonts w:ascii="Arial" w:hAnsi="Arial" w:cs="Arial"/>
          <w:sz w:val="20"/>
          <w:szCs w:val="20"/>
        </w:rPr>
        <w:t xml:space="preserve">ypořádání připomínek </w:t>
      </w:r>
      <w:proofErr w:type="spellStart"/>
      <w:r w:rsidR="00093D75" w:rsidRPr="00427281">
        <w:rPr>
          <w:rFonts w:ascii="Arial" w:hAnsi="Arial" w:cs="Arial"/>
          <w:sz w:val="20"/>
          <w:szCs w:val="20"/>
        </w:rPr>
        <w:t>CoM</w:t>
      </w:r>
      <w:proofErr w:type="spellEnd"/>
      <w:r w:rsidR="00093D75" w:rsidRPr="00427281">
        <w:rPr>
          <w:rFonts w:ascii="Arial" w:hAnsi="Arial" w:cs="Arial"/>
          <w:sz w:val="20"/>
          <w:szCs w:val="20"/>
        </w:rPr>
        <w:t xml:space="preserve"> v souladu a rozsahem stanoveným metodikou iniciativy Paktu starostů a primátorů (dostupných na webové adrese </w:t>
      </w:r>
      <w:hyperlink r:id="rId13" w:history="1">
        <w:r w:rsidR="00093D75" w:rsidRPr="00427281">
          <w:rPr>
            <w:rStyle w:val="Hypertextovodkaz"/>
            <w:rFonts w:ascii="Arial" w:eastAsiaTheme="majorEastAsia" w:hAnsi="Arial" w:cs="Arial"/>
            <w:sz w:val="20"/>
            <w:szCs w:val="20"/>
          </w:rPr>
          <w:t>http://www.covenantofmayors.eu/Covenant-technical-materials.html</w:t>
        </w:r>
      </w:hyperlink>
      <w:r w:rsidR="00093D75" w:rsidRPr="00427281">
        <w:rPr>
          <w:rFonts w:ascii="Arial" w:hAnsi="Arial" w:cs="Arial"/>
          <w:sz w:val="20"/>
          <w:szCs w:val="20"/>
        </w:rPr>
        <w:t>).</w:t>
      </w:r>
    </w:p>
    <w:p w:rsidR="00093D75" w:rsidRDefault="00093D75" w:rsidP="00D7231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 xml:space="preserve">Společné školení pracovníků </w:t>
      </w:r>
      <w:proofErr w:type="spellStart"/>
      <w:r w:rsidRPr="00427281">
        <w:rPr>
          <w:rFonts w:ascii="Arial" w:hAnsi="Arial" w:cs="Arial"/>
          <w:sz w:val="20"/>
          <w:szCs w:val="20"/>
        </w:rPr>
        <w:t>MěÚ</w:t>
      </w:r>
      <w:proofErr w:type="spellEnd"/>
      <w:r w:rsidRPr="00427281">
        <w:rPr>
          <w:rFonts w:ascii="Arial" w:hAnsi="Arial" w:cs="Arial"/>
          <w:sz w:val="20"/>
          <w:szCs w:val="20"/>
        </w:rPr>
        <w:t xml:space="preserve"> a organizací města za účelem představení SECAP a jeho souvislostí (Zpracovatel poskytne experty a školitele na realizaci).</w:t>
      </w:r>
    </w:p>
    <w:p w:rsidR="00A57997" w:rsidRDefault="00A57997" w:rsidP="00A57997">
      <w:pPr>
        <w:pStyle w:val="Nzev"/>
        <w:rPr>
          <w:rFonts w:ascii="Arial" w:hAnsi="Arial"/>
          <w:color w:val="0070C0"/>
          <w:sz w:val="36"/>
          <w:szCs w:val="36"/>
        </w:rPr>
      </w:pPr>
    </w:p>
    <w:p w:rsidR="00093D75" w:rsidRPr="005544C7" w:rsidRDefault="00093D75" w:rsidP="005544C7">
      <w:pPr>
        <w:pStyle w:val="Nzev"/>
        <w:rPr>
          <w:rFonts w:ascii="Arial" w:hAnsi="Arial"/>
          <w:color w:val="0070C0"/>
          <w:sz w:val="36"/>
          <w:szCs w:val="36"/>
        </w:rPr>
      </w:pPr>
      <w:r w:rsidRPr="005544C7">
        <w:rPr>
          <w:rFonts w:ascii="Arial" w:hAnsi="Arial"/>
          <w:color w:val="0070C0"/>
          <w:sz w:val="36"/>
          <w:szCs w:val="36"/>
        </w:rPr>
        <w:t>Základní inventura emisí CO</w:t>
      </w:r>
      <w:r w:rsidRPr="00AA11C1">
        <w:rPr>
          <w:rFonts w:ascii="Arial" w:hAnsi="Arial"/>
          <w:color w:val="0070C0"/>
          <w:sz w:val="36"/>
          <w:szCs w:val="36"/>
          <w:vertAlign w:val="subscript"/>
        </w:rPr>
        <w:t>2</w:t>
      </w:r>
      <w:r w:rsidRPr="005544C7">
        <w:rPr>
          <w:rFonts w:ascii="Arial" w:hAnsi="Arial"/>
          <w:color w:val="0070C0"/>
          <w:sz w:val="36"/>
          <w:szCs w:val="36"/>
        </w:rPr>
        <w:t xml:space="preserve"> (BEI)</w:t>
      </w:r>
    </w:p>
    <w:p w:rsidR="00093D75" w:rsidRPr="00427281" w:rsidRDefault="00093D75" w:rsidP="00D7231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Základní inventura emisí CO</w:t>
      </w:r>
      <w:r w:rsidRPr="00427281">
        <w:rPr>
          <w:rFonts w:ascii="Arial" w:hAnsi="Arial" w:cs="Arial"/>
          <w:sz w:val="20"/>
          <w:szCs w:val="20"/>
          <w:vertAlign w:val="subscript"/>
        </w:rPr>
        <w:t>2</w:t>
      </w:r>
      <w:r w:rsidRPr="00427281">
        <w:rPr>
          <w:rFonts w:ascii="Arial" w:hAnsi="Arial" w:cs="Arial"/>
          <w:sz w:val="20"/>
          <w:szCs w:val="20"/>
        </w:rPr>
        <w:t xml:space="preserve"> (BEI) bude zahrnovat jednotlivé sektory, které může město svou činností ovlivnit (tedy terciární sektor, dopravu MHD a obyvatelstvo), a budou zahrnuty následně do Akčního plánu udržitelné energetiky. </w:t>
      </w:r>
    </w:p>
    <w:p w:rsidR="00093D75" w:rsidRPr="00427281" w:rsidRDefault="00093D75" w:rsidP="00093D75">
      <w:pPr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lastRenderedPageBreak/>
        <w:t>Inventura emisí CO</w:t>
      </w:r>
      <w:r w:rsidRPr="00427281">
        <w:rPr>
          <w:rFonts w:ascii="Arial" w:hAnsi="Arial" w:cs="Arial"/>
          <w:sz w:val="20"/>
          <w:szCs w:val="20"/>
          <w:vertAlign w:val="subscript"/>
        </w:rPr>
        <w:t>2</w:t>
      </w:r>
      <w:r w:rsidRPr="00427281">
        <w:rPr>
          <w:rFonts w:ascii="Arial" w:hAnsi="Arial" w:cs="Arial"/>
          <w:sz w:val="20"/>
          <w:szCs w:val="20"/>
        </w:rPr>
        <w:t xml:space="preserve"> bude provedena pro celé katastrální území města </w:t>
      </w:r>
      <w:r w:rsidR="002A645D">
        <w:rPr>
          <w:rFonts w:ascii="Arial" w:hAnsi="Arial" w:cs="Arial"/>
          <w:sz w:val="20"/>
          <w:szCs w:val="20"/>
        </w:rPr>
        <w:t>Brna</w:t>
      </w:r>
      <w:r w:rsidRPr="00427281">
        <w:rPr>
          <w:rFonts w:ascii="Arial" w:hAnsi="Arial" w:cs="Arial"/>
          <w:sz w:val="20"/>
          <w:szCs w:val="20"/>
        </w:rPr>
        <w:t xml:space="preserve"> a pro veškeré spotřeby paliv a energie na území města. Emise budou vypočteny i pro elektřinu dováženou na území města a pro teplo ze zdrojů CZT, spotřebované v sektorech, na které se bude vztahovat SECAP. Spotřeba paliv a energie bude přepočtena pomocí emisních faktorů podle IPCC na emisní bilance CO</w:t>
      </w:r>
      <w:r w:rsidRPr="00427281">
        <w:rPr>
          <w:rFonts w:ascii="Arial" w:hAnsi="Arial" w:cs="Arial"/>
          <w:sz w:val="20"/>
          <w:szCs w:val="20"/>
          <w:vertAlign w:val="subscript"/>
        </w:rPr>
        <w:t>2</w:t>
      </w:r>
      <w:r w:rsidRPr="00427281">
        <w:rPr>
          <w:rFonts w:ascii="Arial" w:hAnsi="Arial" w:cs="Arial"/>
          <w:sz w:val="20"/>
          <w:szCs w:val="20"/>
        </w:rPr>
        <w:t xml:space="preserve"> - tzv. </w:t>
      </w:r>
      <w:proofErr w:type="spellStart"/>
      <w:r w:rsidRPr="00427281">
        <w:rPr>
          <w:rFonts w:ascii="Arial" w:hAnsi="Arial" w:cs="Arial"/>
          <w:sz w:val="20"/>
          <w:szCs w:val="20"/>
        </w:rPr>
        <w:t>baseline</w:t>
      </w:r>
      <w:proofErr w:type="spellEnd"/>
      <w:r w:rsidRPr="00427281">
        <w:rPr>
          <w:rFonts w:ascii="Arial" w:hAnsi="Arial" w:cs="Arial"/>
          <w:sz w:val="20"/>
          <w:szCs w:val="20"/>
        </w:rPr>
        <w:t>.</w:t>
      </w:r>
    </w:p>
    <w:p w:rsidR="00093D75" w:rsidRDefault="00093D75" w:rsidP="0042728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Metodika vychází z konečné spotřeby paliv a energie na území města, zahrnuje spotřebu místní správy, spotřebu ostatních vybraných spotřebitelů. Požadavky na emise CO</w:t>
      </w:r>
      <w:r w:rsidRPr="00427281">
        <w:rPr>
          <w:rFonts w:ascii="Arial" w:hAnsi="Arial" w:cs="Arial"/>
          <w:sz w:val="20"/>
          <w:szCs w:val="20"/>
          <w:vertAlign w:val="subscript"/>
        </w:rPr>
        <w:t>2</w:t>
      </w:r>
      <w:r w:rsidRPr="00427281">
        <w:rPr>
          <w:rFonts w:ascii="Arial" w:hAnsi="Arial" w:cs="Arial"/>
          <w:sz w:val="20"/>
          <w:szCs w:val="20"/>
        </w:rPr>
        <w:t>, které mají být do inventury zařazeny, definuje následující tabulka.</w:t>
      </w:r>
    </w:p>
    <w:p w:rsidR="00427281" w:rsidRDefault="0042728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1"/>
        <w:gridCol w:w="2410"/>
      </w:tblGrid>
      <w:tr w:rsidR="00093D75" w:rsidRPr="00427281" w:rsidTr="0050520D">
        <w:trPr>
          <w:trHeight w:val="850"/>
          <w:tblHeader/>
        </w:trPr>
        <w:tc>
          <w:tcPr>
            <w:tcW w:w="6861" w:type="dxa"/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281">
              <w:rPr>
                <w:rFonts w:ascii="Arial" w:hAnsi="Arial" w:cs="Arial"/>
                <w:b/>
                <w:sz w:val="20"/>
                <w:szCs w:val="20"/>
              </w:rPr>
              <w:t>Sektor</w:t>
            </w:r>
          </w:p>
        </w:tc>
        <w:tc>
          <w:tcPr>
            <w:tcW w:w="2410" w:type="dxa"/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281">
              <w:rPr>
                <w:rFonts w:ascii="Arial" w:hAnsi="Arial" w:cs="Arial"/>
                <w:b/>
                <w:sz w:val="20"/>
                <w:szCs w:val="20"/>
              </w:rPr>
              <w:t>Zařazení do bilance</w:t>
            </w:r>
          </w:p>
        </w:tc>
      </w:tr>
      <w:tr w:rsidR="00093D75" w:rsidRPr="00427281" w:rsidTr="0050520D">
        <w:trPr>
          <w:trHeight w:val="454"/>
          <w:tblHeader/>
        </w:trPr>
        <w:tc>
          <w:tcPr>
            <w:tcW w:w="927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427281">
            <w:pPr>
              <w:pStyle w:val="Nadpis1"/>
              <w:spacing w:before="0" w:after="0"/>
              <w:rPr>
                <w:rFonts w:ascii="Arial" w:hAnsi="Arial" w:cs="Arial"/>
                <w:b w:val="0"/>
                <w:sz w:val="20"/>
              </w:rPr>
            </w:pPr>
            <w:r w:rsidRPr="00427281">
              <w:rPr>
                <w:rFonts w:ascii="Arial" w:hAnsi="Arial" w:cs="Arial"/>
                <w:sz w:val="20"/>
              </w:rPr>
              <w:t>Konečná spotřeba energie v budovách, zařízeních, vybavení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Budovy, vybavení a zařízení v majetku města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 xml:space="preserve">Terciární sektor (mimo majetek města) - budovy, vybavení a zařízení  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Domy pro bydlení v majetku města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Bytové domy a rodinné domy ostatní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Veřejné osvětlení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93D75" w:rsidRPr="00427281" w:rsidTr="00427281">
        <w:trPr>
          <w:trHeight w:val="458"/>
        </w:trPr>
        <w:tc>
          <w:tcPr>
            <w:tcW w:w="927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427281">
            <w:pPr>
              <w:pStyle w:val="Nadpis1"/>
              <w:spacing w:before="0" w:after="0"/>
              <w:rPr>
                <w:rFonts w:ascii="Arial" w:hAnsi="Arial" w:cs="Arial"/>
                <w:sz w:val="20"/>
              </w:rPr>
            </w:pPr>
            <w:r w:rsidRPr="00427281">
              <w:rPr>
                <w:rFonts w:ascii="Arial" w:hAnsi="Arial" w:cs="Arial"/>
                <w:sz w:val="20"/>
              </w:rPr>
              <w:t>Konečná spotřeba paliv a energie v dopravě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Městská silniční doprava – vozidla města (služební vozidla, doprava odpadu, policie a sanitky, apod.)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Městská silniční doprava: veřejná městská doprava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Městská silniční doprava: osobní a podniková doprava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93D75" w:rsidRPr="00427281" w:rsidTr="0050520D">
        <w:trPr>
          <w:trHeight w:val="454"/>
        </w:trPr>
        <w:tc>
          <w:tcPr>
            <w:tcW w:w="927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427281">
            <w:pPr>
              <w:pStyle w:val="Nadpis1"/>
              <w:spacing w:before="0" w:after="0"/>
              <w:rPr>
                <w:rFonts w:ascii="Arial" w:hAnsi="Arial" w:cs="Arial"/>
                <w:sz w:val="20"/>
              </w:rPr>
            </w:pPr>
            <w:r w:rsidRPr="00427281">
              <w:rPr>
                <w:rFonts w:ascii="Arial" w:hAnsi="Arial" w:cs="Arial"/>
                <w:sz w:val="20"/>
              </w:rPr>
              <w:t>Výroba energie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Spotřeba paliv na výrobu elektrické energie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Fakultativně *</w:t>
            </w:r>
          </w:p>
        </w:tc>
      </w:tr>
      <w:tr w:rsidR="00093D75" w:rsidRPr="00427281" w:rsidTr="0050520D">
        <w:trPr>
          <w:trHeight w:val="454"/>
        </w:trPr>
        <w:tc>
          <w:tcPr>
            <w:tcW w:w="6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Spotřeba paliv na výrobu tepla/chladu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3D75" w:rsidRPr="00427281" w:rsidRDefault="00093D75" w:rsidP="005052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281">
              <w:rPr>
                <w:rFonts w:ascii="Arial" w:hAnsi="Arial" w:cs="Arial"/>
                <w:sz w:val="20"/>
                <w:szCs w:val="20"/>
              </w:rPr>
              <w:t>Fakultativně *</w:t>
            </w:r>
          </w:p>
        </w:tc>
      </w:tr>
    </w:tbl>
    <w:p w:rsidR="00093D75" w:rsidRPr="00427281" w:rsidRDefault="00093D75" w:rsidP="00093D75">
      <w:pPr>
        <w:jc w:val="both"/>
        <w:rPr>
          <w:rFonts w:ascii="Arial" w:hAnsi="Arial" w:cs="Arial"/>
          <w:sz w:val="20"/>
          <w:szCs w:val="20"/>
        </w:rPr>
      </w:pPr>
    </w:p>
    <w:p w:rsidR="00093D75" w:rsidRPr="00427281" w:rsidRDefault="00093D75" w:rsidP="00093D75">
      <w:pPr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Ostatní sektory a oblasti (průmysl, ostatní silniční, kolejová a letecká doprava, ostatní zdroje emisí nevztahující se ke spotřebě paliv a energie) nebudou v rámci zpracování BEI požadovány do zařazení do bilance.</w:t>
      </w:r>
    </w:p>
    <w:p w:rsidR="00093D75" w:rsidRPr="00427281" w:rsidRDefault="00093D75" w:rsidP="00093D75">
      <w:pPr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Zpracovatel stanoví základní rok, od kterého bude schopen zajistit relevantní data pro vyhodnocení minimální úspory emisí CO</w:t>
      </w:r>
      <w:r w:rsidRPr="00427281">
        <w:rPr>
          <w:rFonts w:ascii="Arial" w:hAnsi="Arial" w:cs="Arial"/>
          <w:sz w:val="20"/>
          <w:szCs w:val="20"/>
          <w:vertAlign w:val="subscript"/>
        </w:rPr>
        <w:t>2</w:t>
      </w:r>
      <w:r w:rsidRPr="00427281">
        <w:rPr>
          <w:rFonts w:ascii="Arial" w:hAnsi="Arial" w:cs="Arial"/>
          <w:sz w:val="20"/>
          <w:szCs w:val="20"/>
        </w:rPr>
        <w:t xml:space="preserve"> u navržených opatření ve výši 30 % k roku 2030.</w:t>
      </w:r>
    </w:p>
    <w:p w:rsidR="00D7231C" w:rsidRDefault="00093D75" w:rsidP="00D7231C">
      <w:pPr>
        <w:jc w:val="both"/>
        <w:rPr>
          <w:rFonts w:ascii="Arial" w:hAnsi="Arial" w:cs="Arial"/>
          <w:sz w:val="20"/>
          <w:szCs w:val="20"/>
        </w:rPr>
      </w:pPr>
      <w:r w:rsidRPr="00427281">
        <w:rPr>
          <w:rFonts w:ascii="Arial" w:hAnsi="Arial" w:cs="Arial"/>
          <w:sz w:val="20"/>
          <w:szCs w:val="20"/>
        </w:rPr>
        <w:t>Bilance emisí CO</w:t>
      </w:r>
      <w:r w:rsidRPr="00427281">
        <w:rPr>
          <w:rFonts w:ascii="Arial" w:hAnsi="Arial" w:cs="Arial"/>
          <w:sz w:val="20"/>
          <w:szCs w:val="20"/>
          <w:vertAlign w:val="subscript"/>
        </w:rPr>
        <w:t>2</w:t>
      </w:r>
      <w:r w:rsidRPr="00427281">
        <w:rPr>
          <w:rFonts w:ascii="Arial" w:hAnsi="Arial" w:cs="Arial"/>
          <w:sz w:val="20"/>
          <w:szCs w:val="20"/>
        </w:rPr>
        <w:t xml:space="preserve">, tzv. </w:t>
      </w:r>
      <w:proofErr w:type="spellStart"/>
      <w:r w:rsidRPr="00427281">
        <w:rPr>
          <w:rFonts w:ascii="Arial" w:hAnsi="Arial" w:cs="Arial"/>
          <w:sz w:val="20"/>
          <w:szCs w:val="20"/>
        </w:rPr>
        <w:t>baseline</w:t>
      </w:r>
      <w:proofErr w:type="spellEnd"/>
      <w:r w:rsidRPr="00427281">
        <w:rPr>
          <w:rFonts w:ascii="Arial" w:hAnsi="Arial" w:cs="Arial"/>
          <w:sz w:val="20"/>
          <w:szCs w:val="20"/>
        </w:rPr>
        <w:t xml:space="preserve">, bude vytvořena tam, kde to bude možné, v časové řadě nejlépe od roku 1990, s průřezovými roky 2000, 2005, 2010, </w:t>
      </w:r>
      <w:smartTag w:uri="urn:schemas-microsoft-com:office:smarttags" w:element="metricconverter">
        <w:smartTagPr>
          <w:attr w:name="ProductID" w:val="2015 a"/>
        </w:smartTagPr>
        <w:r w:rsidRPr="00427281">
          <w:rPr>
            <w:rFonts w:ascii="Arial" w:hAnsi="Arial" w:cs="Arial"/>
            <w:sz w:val="20"/>
            <w:szCs w:val="20"/>
          </w:rPr>
          <w:t>2015 a</w:t>
        </w:r>
      </w:smartTag>
      <w:r w:rsidRPr="00427281">
        <w:rPr>
          <w:rFonts w:ascii="Arial" w:hAnsi="Arial" w:cs="Arial"/>
          <w:sz w:val="20"/>
          <w:szCs w:val="20"/>
        </w:rPr>
        <w:t xml:space="preserve"> finálním rokem 2020. Výchozím rokem emisní inventury je rok, proti kterému musí být porovnávány dosažené výsledky ve snížení emisí v roce 2030 (dosažení snížení min o 30 %). Pokud nebudou dostupná data pro rok 1990, může si zhotovitel vybrat nejbližší rok, pro který lze získat spolehlivá a úplná data. </w:t>
      </w:r>
    </w:p>
    <w:p w:rsidR="00572DEE" w:rsidRDefault="00572DEE" w:rsidP="00D7231C">
      <w:pPr>
        <w:jc w:val="both"/>
        <w:rPr>
          <w:rFonts w:ascii="Arial" w:hAnsi="Arial" w:cs="Arial"/>
          <w:sz w:val="20"/>
          <w:szCs w:val="20"/>
        </w:rPr>
      </w:pPr>
    </w:p>
    <w:p w:rsidR="00572DEE" w:rsidRDefault="00572DEE" w:rsidP="00572DEE">
      <w:pPr>
        <w:pStyle w:val="Nzev"/>
        <w:rPr>
          <w:rFonts w:ascii="Arial" w:hAnsi="Arial"/>
          <w:color w:val="0070C0"/>
          <w:sz w:val="36"/>
          <w:szCs w:val="36"/>
        </w:rPr>
      </w:pPr>
      <w:r w:rsidRPr="00572DEE">
        <w:rPr>
          <w:rFonts w:ascii="Arial" w:hAnsi="Arial"/>
          <w:color w:val="0070C0"/>
          <w:sz w:val="36"/>
          <w:szCs w:val="36"/>
        </w:rPr>
        <w:lastRenderedPageBreak/>
        <w:t>Harmonogram zpracování SECAP</w:t>
      </w:r>
    </w:p>
    <w:p w:rsidR="00572DEE" w:rsidRDefault="00572DEE" w:rsidP="00572DEE">
      <w:pPr>
        <w:pStyle w:val="Nzev"/>
        <w:rPr>
          <w:rFonts w:ascii="Arial" w:hAnsi="Arial"/>
          <w:color w:val="0070C0"/>
          <w:sz w:val="36"/>
          <w:szCs w:val="36"/>
        </w:rPr>
      </w:pPr>
    </w:p>
    <w:p w:rsidR="00572DEE" w:rsidRPr="00572DEE" w:rsidRDefault="00572DEE" w:rsidP="00572DE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72DEE">
        <w:rPr>
          <w:rFonts w:ascii="Arial" w:hAnsi="Arial" w:cs="Arial"/>
          <w:sz w:val="20"/>
          <w:szCs w:val="20"/>
        </w:rPr>
        <w:t>Navržený harmonogram vychází z požadavků zadavatele.</w:t>
      </w:r>
    </w:p>
    <w:tbl>
      <w:tblPr>
        <w:tblW w:w="9071" w:type="dxa"/>
        <w:tblInd w:w="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2"/>
        <w:gridCol w:w="850"/>
        <w:gridCol w:w="851"/>
        <w:gridCol w:w="850"/>
        <w:gridCol w:w="851"/>
        <w:gridCol w:w="850"/>
        <w:gridCol w:w="851"/>
        <w:gridCol w:w="876"/>
      </w:tblGrid>
      <w:tr w:rsidR="00761D61" w:rsidRPr="00572DEE" w:rsidTr="00BB67BE">
        <w:trPr>
          <w:trHeight w:val="29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Činnost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07_201</w:t>
            </w:r>
            <w:r>
              <w:rPr>
                <w:color w:val="000000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08_201</w:t>
            </w:r>
            <w:r>
              <w:rPr>
                <w:color w:val="000000"/>
                <w:lang w:eastAsia="cs-C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09_201</w:t>
            </w:r>
            <w:r>
              <w:rPr>
                <w:color w:val="000000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10_201</w:t>
            </w:r>
            <w:r>
              <w:rPr>
                <w:color w:val="000000"/>
                <w:lang w:eastAsia="cs-C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11_201</w:t>
            </w:r>
            <w:r>
              <w:rPr>
                <w:color w:val="000000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61" w:rsidRPr="00BB67B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BB67BE">
              <w:rPr>
                <w:color w:val="000000"/>
                <w:lang w:eastAsia="cs-CZ"/>
              </w:rPr>
              <w:t>06_2019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61" w:rsidRPr="00BB67B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BB67BE">
              <w:rPr>
                <w:color w:val="000000"/>
                <w:lang w:eastAsia="cs-CZ"/>
              </w:rPr>
              <w:t>12_2019</w:t>
            </w:r>
          </w:p>
        </w:tc>
      </w:tr>
      <w:tr w:rsidR="00761D61" w:rsidRPr="00572DEE" w:rsidTr="00BB67BE">
        <w:trPr>
          <w:trHeight w:val="314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61" w:rsidRPr="00572DEE" w:rsidRDefault="00761D61" w:rsidP="00F85FC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Popis </w:t>
            </w:r>
            <w:r>
              <w:t>mobilních zdrojů na území města Brna – vozový park, dopravní síť, metodika výpočtu CO2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4F81BD"/>
                <w:lang w:eastAsia="cs-CZ"/>
              </w:rPr>
            </w:pPr>
            <w:r w:rsidRPr="00572DEE">
              <w:rPr>
                <w:color w:val="4F81BD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4F81BD"/>
                <w:lang w:eastAsia="cs-CZ"/>
              </w:rPr>
            </w:pPr>
            <w:r w:rsidRPr="00572DEE">
              <w:rPr>
                <w:color w:val="4F81BD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  <w:tr w:rsidR="00761D61" w:rsidRPr="00572DEE" w:rsidTr="00BB67BE">
        <w:trPr>
          <w:trHeight w:val="509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61" w:rsidRPr="00572DEE" w:rsidRDefault="00761D61" w:rsidP="00F85F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</w:t>
            </w:r>
            <w:r w:rsidRPr="00F85FC1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ýpočet emisí CO2 z dopravy a bilance emisí k roku 2000, 2005, 2010 a 2015 – Vozidla města doprava</w:t>
            </w:r>
            <w:r w:rsidRPr="00572DEE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4F81BD"/>
                <w:lang w:eastAsia="cs-CZ"/>
              </w:rPr>
            </w:pPr>
            <w:r w:rsidRPr="00572DEE">
              <w:rPr>
                <w:color w:val="4F81BD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4F81BD"/>
                <w:lang w:eastAsia="cs-CZ"/>
              </w:rPr>
            </w:pPr>
            <w:r w:rsidRPr="00572DEE">
              <w:rPr>
                <w:color w:val="4F81BD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  <w:tr w:rsidR="00761D61" w:rsidRPr="00572DEE" w:rsidTr="00BB67BE">
        <w:trPr>
          <w:trHeight w:val="299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t>Prognóza emisí CO2 pro rok 2020 a 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  <w:tr w:rsidR="00761D61" w:rsidRPr="00572DEE" w:rsidTr="00BB67BE">
        <w:trPr>
          <w:trHeight w:val="509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61" w:rsidRDefault="00761D61" w:rsidP="00572DEE">
            <w:pPr>
              <w:spacing w:after="0" w:line="240" w:lineRule="auto"/>
            </w:pPr>
            <w:r>
              <w:t>Porovnání jednotlivých druhů vozidel podle produkce CO2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  <w:tr w:rsidR="00761D61" w:rsidRPr="00572DEE" w:rsidTr="00BB67BE">
        <w:trPr>
          <w:trHeight w:val="509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cs-CZ"/>
              </w:rPr>
            </w:pPr>
            <w:r>
              <w:t>Vliv plynulosti provozu na emise CO2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  <w:tr w:rsidR="00761D61" w:rsidRPr="00572DEE" w:rsidTr="00BB67BE">
        <w:trPr>
          <w:trHeight w:val="1845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61" w:rsidRPr="00BB67BE" w:rsidRDefault="00761D61" w:rsidP="00572DEE">
            <w:pPr>
              <w:spacing w:after="0" w:line="240" w:lineRule="auto"/>
            </w:pPr>
            <w:r>
              <w:t>Popis opatření ke snížení emisí CO2, jejich přínosy v úspoře CO2, náklady na realizaci vybraných investičních opatření (autobusy CNG, apod.)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  <w:r w:rsidRPr="00572DEE">
              <w:rPr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  <w:tr w:rsidR="00761D61" w:rsidRPr="00572DEE" w:rsidTr="00BB67BE">
        <w:trPr>
          <w:trHeight w:val="509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61" w:rsidRDefault="00761D61" w:rsidP="00572DEE">
            <w:pPr>
              <w:spacing w:after="0" w:line="240" w:lineRule="auto"/>
            </w:pPr>
            <w:r w:rsidRPr="00761D61">
              <w:t>Vypořádání připomínek města Brna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  <w:tr w:rsidR="00761D61" w:rsidRPr="00572DEE" w:rsidTr="00BB67BE">
        <w:trPr>
          <w:trHeight w:val="50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61" w:rsidRDefault="00761D61" w:rsidP="00572DEE">
            <w:pPr>
              <w:spacing w:after="0" w:line="240" w:lineRule="auto"/>
            </w:pPr>
            <w:r w:rsidRPr="00761D61">
              <w:t xml:space="preserve">Vypořádání připomínek z </w:t>
            </w:r>
            <w:proofErr w:type="spellStart"/>
            <w:r w:rsidRPr="00761D61">
              <w:t>CoM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1D61" w:rsidRPr="00572DEE" w:rsidRDefault="00761D61" w:rsidP="00572DEE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</w:tbl>
    <w:p w:rsidR="00572DEE" w:rsidRDefault="00572DEE" w:rsidP="00D7231C">
      <w:pPr>
        <w:jc w:val="both"/>
        <w:rPr>
          <w:rFonts w:ascii="Arial" w:hAnsi="Arial"/>
          <w:color w:val="0070C0"/>
          <w:sz w:val="36"/>
          <w:szCs w:val="36"/>
        </w:rPr>
      </w:pPr>
    </w:p>
    <w:p w:rsidR="00D7231C" w:rsidRPr="00427281" w:rsidRDefault="00D7231C" w:rsidP="00093D75">
      <w:pPr>
        <w:jc w:val="both"/>
        <w:rPr>
          <w:rFonts w:ascii="Arial" w:hAnsi="Arial" w:cs="Arial"/>
          <w:sz w:val="20"/>
          <w:szCs w:val="20"/>
        </w:rPr>
      </w:pPr>
    </w:p>
    <w:sectPr w:rsidR="00D7231C" w:rsidRPr="00427281" w:rsidSect="00427281">
      <w:pgSz w:w="11906" w:h="16838" w:code="9"/>
      <w:pgMar w:top="1560" w:right="1418" w:bottom="1276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63" w:rsidRDefault="00DE0663">
      <w:pPr>
        <w:spacing w:after="0" w:line="240" w:lineRule="auto"/>
      </w:pPr>
      <w:r>
        <w:separator/>
      </w:r>
    </w:p>
  </w:endnote>
  <w:endnote w:type="continuationSeparator" w:id="0">
    <w:p w:rsidR="00DE0663" w:rsidRDefault="00DE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BA" w:rsidRPr="00342016" w:rsidRDefault="008F2A64" w:rsidP="00425FBA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ab/>
    </w:r>
    <w:r w:rsidR="00425FBA">
      <w:rPr>
        <w:rStyle w:val="slostrnky"/>
        <w:rFonts w:ascii="Arial" w:hAnsi="Arial" w:cs="Arial"/>
        <w:sz w:val="18"/>
        <w:szCs w:val="18"/>
      </w:rPr>
      <w:tab/>
    </w:r>
    <w:r w:rsidR="00425FBA" w:rsidRPr="00342016">
      <w:rPr>
        <w:rStyle w:val="slostrnky"/>
        <w:rFonts w:ascii="Arial" w:hAnsi="Arial" w:cs="Arial"/>
        <w:sz w:val="18"/>
        <w:szCs w:val="18"/>
      </w:rPr>
      <w:fldChar w:fldCharType="begin"/>
    </w:r>
    <w:r w:rsidR="00425FBA" w:rsidRPr="00342016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425FBA" w:rsidRPr="00342016">
      <w:rPr>
        <w:rStyle w:val="slostrnky"/>
        <w:rFonts w:ascii="Arial" w:hAnsi="Arial" w:cs="Arial"/>
        <w:sz w:val="18"/>
        <w:szCs w:val="18"/>
      </w:rPr>
      <w:fldChar w:fldCharType="separate"/>
    </w:r>
    <w:r w:rsidR="00C10B0C">
      <w:rPr>
        <w:rStyle w:val="slostrnky"/>
        <w:rFonts w:ascii="Arial" w:hAnsi="Arial" w:cs="Arial"/>
        <w:noProof/>
        <w:sz w:val="18"/>
        <w:szCs w:val="18"/>
      </w:rPr>
      <w:t>1</w:t>
    </w:r>
    <w:r w:rsidR="00425FBA" w:rsidRPr="00342016">
      <w:rPr>
        <w:rStyle w:val="slostrnky"/>
        <w:rFonts w:ascii="Arial" w:hAnsi="Arial" w:cs="Arial"/>
        <w:sz w:val="18"/>
        <w:szCs w:val="18"/>
      </w:rPr>
      <w:fldChar w:fldCharType="end"/>
    </w:r>
    <w:r w:rsidR="00425FBA" w:rsidRPr="00342016">
      <w:rPr>
        <w:rStyle w:val="slostrnky"/>
        <w:rFonts w:ascii="Arial" w:hAnsi="Arial" w:cs="Arial"/>
        <w:sz w:val="18"/>
        <w:szCs w:val="18"/>
      </w:rPr>
      <w:t>/</w:t>
    </w:r>
    <w:r w:rsidR="00425FBA" w:rsidRPr="00342016">
      <w:rPr>
        <w:rStyle w:val="slostrnky"/>
        <w:rFonts w:ascii="Arial" w:hAnsi="Arial" w:cs="Arial"/>
        <w:sz w:val="18"/>
        <w:szCs w:val="18"/>
      </w:rPr>
      <w:fldChar w:fldCharType="begin"/>
    </w:r>
    <w:r w:rsidR="00425FBA" w:rsidRPr="00342016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425FBA" w:rsidRPr="00342016">
      <w:rPr>
        <w:rStyle w:val="slostrnky"/>
        <w:rFonts w:ascii="Arial" w:hAnsi="Arial" w:cs="Arial"/>
        <w:sz w:val="18"/>
        <w:szCs w:val="18"/>
      </w:rPr>
      <w:fldChar w:fldCharType="separate"/>
    </w:r>
    <w:r w:rsidR="00C10B0C">
      <w:rPr>
        <w:rStyle w:val="slostrnky"/>
        <w:rFonts w:ascii="Arial" w:hAnsi="Arial" w:cs="Arial"/>
        <w:noProof/>
        <w:sz w:val="18"/>
        <w:szCs w:val="18"/>
      </w:rPr>
      <w:t>9</w:t>
    </w:r>
    <w:r w:rsidR="00425FBA" w:rsidRPr="00342016">
      <w:rPr>
        <w:rStyle w:val="slostrnky"/>
        <w:rFonts w:ascii="Arial" w:hAnsi="Arial" w:cs="Arial"/>
        <w:sz w:val="18"/>
        <w:szCs w:val="18"/>
      </w:rPr>
      <w:fldChar w:fldCharType="end"/>
    </w:r>
  </w:p>
  <w:p w:rsidR="008F2A64" w:rsidRDefault="008F2A64" w:rsidP="00425FBA">
    <w:pPr>
      <w:pStyle w:val="Zpat"/>
      <w:tabs>
        <w:tab w:val="left" w:pos="1680"/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1F" w:rsidRDefault="00C8551F">
    <w:pPr>
      <w:pStyle w:val="Zpat"/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Style w:val="slostrnky"/>
        <w:rFonts w:ascii="Arial" w:hAnsi="Arial" w:cs="Arial"/>
        <w:sz w:val="20"/>
        <w:szCs w:val="20"/>
      </w:rPr>
      <w:t xml:space="preserve">- </w:t>
    </w: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PAGE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 w:rsidR="00B23A77"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Garamond" w:hAnsi="Garamond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63" w:rsidRDefault="00DE0663">
      <w:pPr>
        <w:spacing w:after="0" w:line="240" w:lineRule="auto"/>
      </w:pPr>
      <w:r>
        <w:separator/>
      </w:r>
    </w:p>
  </w:footnote>
  <w:footnote w:type="continuationSeparator" w:id="0">
    <w:p w:rsidR="00DE0663" w:rsidRDefault="00DE0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16" w:rsidRPr="004254A0" w:rsidRDefault="004254A0" w:rsidP="004254A0">
    <w:pPr>
      <w:pStyle w:val="Zhlav"/>
      <w:jc w:val="right"/>
      <w:rPr>
        <w:color w:val="808080" w:themeColor="background1" w:themeShade="80"/>
      </w:rPr>
    </w:pPr>
    <w:r w:rsidRPr="004254A0">
      <w:rPr>
        <w:color w:val="808080" w:themeColor="background1" w:themeShade="80"/>
      </w:rPr>
      <w:t xml:space="preserve">SECAP </w:t>
    </w:r>
    <w:r w:rsidR="007274C4">
      <w:rPr>
        <w:color w:val="808080" w:themeColor="background1" w:themeShade="80"/>
      </w:rPr>
      <w:t>Brno</w:t>
    </w:r>
    <w:r w:rsidR="005D5DD9">
      <w:rPr>
        <w:color w:val="808080" w:themeColor="background1" w:themeShade="80"/>
      </w:rPr>
      <w:t>/</w:t>
    </w:r>
    <w:r w:rsidR="007274C4" w:rsidRPr="007274C4">
      <w:rPr>
        <w:color w:val="808080" w:themeColor="background1" w:themeShade="80"/>
      </w:rPr>
      <w:t>ECZ18028</w:t>
    </w:r>
    <w:r w:rsidR="005D5DD9">
      <w:rPr>
        <w:color w:val="808080" w:themeColor="background1" w:themeShade="80"/>
      </w:rPr>
      <w:t>/b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00E46F8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1561"/>
        </w:tabs>
        <w:ind w:left="708" w:hanging="708"/>
      </w:pPr>
      <w:rPr>
        <w:rFonts w:ascii="Arial" w:hAnsi="Arial" w:cs="Arial" w:hint="default"/>
        <w:color w:val="000000" w:themeColor="text1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3402" w:hanging="708"/>
      </w:pPr>
      <w:rPr>
        <w:rFonts w:cs="Times New Roman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  <w:rPr>
        <w:rFonts w:cs="Times New Roman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  <w:rPr>
        <w:rFonts w:cs="Times New Roman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>
    <w:nsid w:val="025356D9"/>
    <w:multiLevelType w:val="hybridMultilevel"/>
    <w:tmpl w:val="176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A4102"/>
    <w:multiLevelType w:val="multilevel"/>
    <w:tmpl w:val="1EF4B77E"/>
    <w:lvl w:ilvl="0">
      <w:start w:val="8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7A614F4"/>
    <w:multiLevelType w:val="multilevel"/>
    <w:tmpl w:val="8A66FEF2"/>
    <w:lvl w:ilvl="0">
      <w:start w:val="5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3FF3F8B"/>
    <w:multiLevelType w:val="multilevel"/>
    <w:tmpl w:val="07B056FC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AF480C"/>
    <w:multiLevelType w:val="hybridMultilevel"/>
    <w:tmpl w:val="F09A046A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C977CC"/>
    <w:multiLevelType w:val="multilevel"/>
    <w:tmpl w:val="B8646C96"/>
    <w:lvl w:ilvl="0">
      <w:start w:val="4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397F05C5"/>
    <w:multiLevelType w:val="multilevel"/>
    <w:tmpl w:val="D6981664"/>
    <w:lvl w:ilvl="0">
      <w:start w:val="7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1">
    <w:nsid w:val="52B233ED"/>
    <w:multiLevelType w:val="multilevel"/>
    <w:tmpl w:val="68C4832C"/>
    <w:lvl w:ilvl="0">
      <w:start w:val="1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59F83BA0"/>
    <w:multiLevelType w:val="multilevel"/>
    <w:tmpl w:val="360CE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5A105BE3"/>
    <w:multiLevelType w:val="multilevel"/>
    <w:tmpl w:val="3D626A12"/>
    <w:lvl w:ilvl="0">
      <w:start w:val="3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6572007F"/>
    <w:multiLevelType w:val="hybridMultilevel"/>
    <w:tmpl w:val="702CC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8943208"/>
    <w:multiLevelType w:val="multilevel"/>
    <w:tmpl w:val="009EFE64"/>
    <w:lvl w:ilvl="0">
      <w:start w:val="10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6AB56533"/>
    <w:multiLevelType w:val="multilevel"/>
    <w:tmpl w:val="6A34CE02"/>
    <w:lvl w:ilvl="0">
      <w:start w:val="2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6EC724C8"/>
    <w:multiLevelType w:val="multilevel"/>
    <w:tmpl w:val="EB00E7EC"/>
    <w:lvl w:ilvl="0">
      <w:start w:val="6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8">
    <w:nsid w:val="73A84D7C"/>
    <w:multiLevelType w:val="hybridMultilevel"/>
    <w:tmpl w:val="28C20F0E"/>
    <w:lvl w:ilvl="0" w:tplc="E10AFBA2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F7197"/>
    <w:multiLevelType w:val="hybridMultilevel"/>
    <w:tmpl w:val="18B66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E2416A"/>
    <w:multiLevelType w:val="multilevel"/>
    <w:tmpl w:val="ADFC4790"/>
    <w:lvl w:ilvl="0">
      <w:start w:val="9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000000" w:themeColor="text1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6"/>
  </w:num>
  <w:num w:numId="5">
    <w:abstractNumId w:val="11"/>
  </w:num>
  <w:num w:numId="6">
    <w:abstractNumId w:val="15"/>
  </w:num>
  <w:num w:numId="7">
    <w:abstractNumId w:val="20"/>
  </w:num>
  <w:num w:numId="8">
    <w:abstractNumId w:val="3"/>
  </w:num>
  <w:num w:numId="9">
    <w:abstractNumId w:val="9"/>
  </w:num>
  <w:num w:numId="10">
    <w:abstractNumId w:val="17"/>
  </w:num>
  <w:num w:numId="11">
    <w:abstractNumId w:val="4"/>
  </w:num>
  <w:num w:numId="12">
    <w:abstractNumId w:val="8"/>
  </w:num>
  <w:num w:numId="13">
    <w:abstractNumId w:val="13"/>
  </w:num>
  <w:num w:numId="14">
    <w:abstractNumId w:val="0"/>
  </w:num>
  <w:num w:numId="15">
    <w:abstractNumId w:val="0"/>
  </w:num>
  <w:num w:numId="16">
    <w:abstractNumId w:val="10"/>
  </w:num>
  <w:num w:numId="17">
    <w:abstractNumId w:val="0"/>
  </w:num>
  <w:num w:numId="18">
    <w:abstractNumId w:val="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9"/>
  </w:num>
  <w:num w:numId="23">
    <w:abstractNumId w:val="18"/>
  </w:num>
  <w:num w:numId="24">
    <w:abstractNumId w:val="14"/>
  </w:num>
  <w:num w:numId="2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1E"/>
    <w:rsid w:val="00011754"/>
    <w:rsid w:val="00011A6B"/>
    <w:rsid w:val="000126C5"/>
    <w:rsid w:val="00016043"/>
    <w:rsid w:val="0004666B"/>
    <w:rsid w:val="00057DBA"/>
    <w:rsid w:val="00093D75"/>
    <w:rsid w:val="00096F56"/>
    <w:rsid w:val="000A642A"/>
    <w:rsid w:val="000D1D46"/>
    <w:rsid w:val="000D7884"/>
    <w:rsid w:val="000E0FAF"/>
    <w:rsid w:val="000F56C2"/>
    <w:rsid w:val="001007EF"/>
    <w:rsid w:val="001148C2"/>
    <w:rsid w:val="00116A08"/>
    <w:rsid w:val="00123189"/>
    <w:rsid w:val="00131A06"/>
    <w:rsid w:val="00135160"/>
    <w:rsid w:val="00163914"/>
    <w:rsid w:val="001A379F"/>
    <w:rsid w:val="001B0575"/>
    <w:rsid w:val="001B086F"/>
    <w:rsid w:val="001D1ECE"/>
    <w:rsid w:val="001D3672"/>
    <w:rsid w:val="001D6A03"/>
    <w:rsid w:val="001E07C8"/>
    <w:rsid w:val="00215C16"/>
    <w:rsid w:val="00216F7E"/>
    <w:rsid w:val="00222779"/>
    <w:rsid w:val="002545CF"/>
    <w:rsid w:val="00257DE5"/>
    <w:rsid w:val="00257F02"/>
    <w:rsid w:val="0028115A"/>
    <w:rsid w:val="00282CC3"/>
    <w:rsid w:val="00285DDF"/>
    <w:rsid w:val="002915C9"/>
    <w:rsid w:val="002A03C9"/>
    <w:rsid w:val="002A1D9C"/>
    <w:rsid w:val="002A645D"/>
    <w:rsid w:val="002C134F"/>
    <w:rsid w:val="002C54A6"/>
    <w:rsid w:val="002D1515"/>
    <w:rsid w:val="002E45BD"/>
    <w:rsid w:val="002E4907"/>
    <w:rsid w:val="002F1B0F"/>
    <w:rsid w:val="002F57C8"/>
    <w:rsid w:val="002F7458"/>
    <w:rsid w:val="00302DF2"/>
    <w:rsid w:val="00306F4E"/>
    <w:rsid w:val="0032330A"/>
    <w:rsid w:val="003312D5"/>
    <w:rsid w:val="00331DCA"/>
    <w:rsid w:val="00342016"/>
    <w:rsid w:val="00346C75"/>
    <w:rsid w:val="00350E89"/>
    <w:rsid w:val="00351339"/>
    <w:rsid w:val="00351E85"/>
    <w:rsid w:val="00371F4C"/>
    <w:rsid w:val="00380AEE"/>
    <w:rsid w:val="003901D1"/>
    <w:rsid w:val="00393E35"/>
    <w:rsid w:val="003B0D57"/>
    <w:rsid w:val="003B29C3"/>
    <w:rsid w:val="003C75AE"/>
    <w:rsid w:val="003E0156"/>
    <w:rsid w:val="003F08F4"/>
    <w:rsid w:val="003F32B8"/>
    <w:rsid w:val="00402F49"/>
    <w:rsid w:val="00417582"/>
    <w:rsid w:val="00422762"/>
    <w:rsid w:val="004254A0"/>
    <w:rsid w:val="00425FBA"/>
    <w:rsid w:val="00427281"/>
    <w:rsid w:val="00434592"/>
    <w:rsid w:val="00442959"/>
    <w:rsid w:val="00450B4E"/>
    <w:rsid w:val="00454BF3"/>
    <w:rsid w:val="0045647D"/>
    <w:rsid w:val="00460AEA"/>
    <w:rsid w:val="0046528E"/>
    <w:rsid w:val="0047002E"/>
    <w:rsid w:val="0047451E"/>
    <w:rsid w:val="004A0866"/>
    <w:rsid w:val="004A2E28"/>
    <w:rsid w:val="004C3B69"/>
    <w:rsid w:val="004D1FE8"/>
    <w:rsid w:val="004F509A"/>
    <w:rsid w:val="0050520D"/>
    <w:rsid w:val="00514AA2"/>
    <w:rsid w:val="00514B5C"/>
    <w:rsid w:val="0053006D"/>
    <w:rsid w:val="00547EA2"/>
    <w:rsid w:val="0055164A"/>
    <w:rsid w:val="005544C7"/>
    <w:rsid w:val="005574E0"/>
    <w:rsid w:val="0056092A"/>
    <w:rsid w:val="00572DEE"/>
    <w:rsid w:val="005A1EEA"/>
    <w:rsid w:val="005A5C5F"/>
    <w:rsid w:val="005B52F2"/>
    <w:rsid w:val="005B57A1"/>
    <w:rsid w:val="005C07FC"/>
    <w:rsid w:val="005D37CB"/>
    <w:rsid w:val="005D39D5"/>
    <w:rsid w:val="005D5DD9"/>
    <w:rsid w:val="005D6C87"/>
    <w:rsid w:val="006103E3"/>
    <w:rsid w:val="00632C90"/>
    <w:rsid w:val="00642DCD"/>
    <w:rsid w:val="006717C7"/>
    <w:rsid w:val="00681423"/>
    <w:rsid w:val="006815E4"/>
    <w:rsid w:val="006977A5"/>
    <w:rsid w:val="006A68F1"/>
    <w:rsid w:val="006C198E"/>
    <w:rsid w:val="006E2E92"/>
    <w:rsid w:val="006E3DF9"/>
    <w:rsid w:val="006E50F2"/>
    <w:rsid w:val="007064CF"/>
    <w:rsid w:val="007274C4"/>
    <w:rsid w:val="00730595"/>
    <w:rsid w:val="00744BB8"/>
    <w:rsid w:val="00745C0D"/>
    <w:rsid w:val="00761134"/>
    <w:rsid w:val="00761D61"/>
    <w:rsid w:val="00767D61"/>
    <w:rsid w:val="007825FC"/>
    <w:rsid w:val="007855BC"/>
    <w:rsid w:val="00787879"/>
    <w:rsid w:val="0079308A"/>
    <w:rsid w:val="0079351C"/>
    <w:rsid w:val="00795111"/>
    <w:rsid w:val="007971D5"/>
    <w:rsid w:val="007A7EA5"/>
    <w:rsid w:val="007C6206"/>
    <w:rsid w:val="007D574A"/>
    <w:rsid w:val="007D6FEC"/>
    <w:rsid w:val="007E46DD"/>
    <w:rsid w:val="007F4AC7"/>
    <w:rsid w:val="007F66C6"/>
    <w:rsid w:val="007F71E0"/>
    <w:rsid w:val="007F7EF4"/>
    <w:rsid w:val="00800BF6"/>
    <w:rsid w:val="00804900"/>
    <w:rsid w:val="00811629"/>
    <w:rsid w:val="00832523"/>
    <w:rsid w:val="0084053D"/>
    <w:rsid w:val="00841D25"/>
    <w:rsid w:val="008569CB"/>
    <w:rsid w:val="00867B6E"/>
    <w:rsid w:val="00870825"/>
    <w:rsid w:val="00871177"/>
    <w:rsid w:val="0087201E"/>
    <w:rsid w:val="008934EB"/>
    <w:rsid w:val="00895A06"/>
    <w:rsid w:val="008B212B"/>
    <w:rsid w:val="008D2E45"/>
    <w:rsid w:val="008D4523"/>
    <w:rsid w:val="008E5283"/>
    <w:rsid w:val="008E5AA0"/>
    <w:rsid w:val="008F032C"/>
    <w:rsid w:val="008F2A64"/>
    <w:rsid w:val="008F56F4"/>
    <w:rsid w:val="008F6143"/>
    <w:rsid w:val="009014C4"/>
    <w:rsid w:val="00902976"/>
    <w:rsid w:val="00947C75"/>
    <w:rsid w:val="00951FEA"/>
    <w:rsid w:val="00974C2B"/>
    <w:rsid w:val="00975C9C"/>
    <w:rsid w:val="00987033"/>
    <w:rsid w:val="00996B3C"/>
    <w:rsid w:val="009D1148"/>
    <w:rsid w:val="009F706B"/>
    <w:rsid w:val="00A01A0D"/>
    <w:rsid w:val="00A13886"/>
    <w:rsid w:val="00A26772"/>
    <w:rsid w:val="00A32AEA"/>
    <w:rsid w:val="00A36A9E"/>
    <w:rsid w:val="00A37C39"/>
    <w:rsid w:val="00A556D9"/>
    <w:rsid w:val="00A57997"/>
    <w:rsid w:val="00A82DA1"/>
    <w:rsid w:val="00A9319C"/>
    <w:rsid w:val="00A94295"/>
    <w:rsid w:val="00A97E64"/>
    <w:rsid w:val="00AA11C1"/>
    <w:rsid w:val="00AA7D28"/>
    <w:rsid w:val="00AB57D2"/>
    <w:rsid w:val="00AD067F"/>
    <w:rsid w:val="00AF5D85"/>
    <w:rsid w:val="00B23A77"/>
    <w:rsid w:val="00B3147C"/>
    <w:rsid w:val="00B35AFE"/>
    <w:rsid w:val="00B4591A"/>
    <w:rsid w:val="00B52F97"/>
    <w:rsid w:val="00B54BDE"/>
    <w:rsid w:val="00B56658"/>
    <w:rsid w:val="00B85480"/>
    <w:rsid w:val="00B861CA"/>
    <w:rsid w:val="00B86B51"/>
    <w:rsid w:val="00B9043D"/>
    <w:rsid w:val="00B91649"/>
    <w:rsid w:val="00BA40F3"/>
    <w:rsid w:val="00BA5268"/>
    <w:rsid w:val="00BA6926"/>
    <w:rsid w:val="00BB67BE"/>
    <w:rsid w:val="00BC12A1"/>
    <w:rsid w:val="00BF6BE1"/>
    <w:rsid w:val="00C10B0C"/>
    <w:rsid w:val="00C251C3"/>
    <w:rsid w:val="00C33938"/>
    <w:rsid w:val="00C426DA"/>
    <w:rsid w:val="00C607B5"/>
    <w:rsid w:val="00C65A7F"/>
    <w:rsid w:val="00C737D2"/>
    <w:rsid w:val="00C800AA"/>
    <w:rsid w:val="00C8551F"/>
    <w:rsid w:val="00C85818"/>
    <w:rsid w:val="00C85E66"/>
    <w:rsid w:val="00C914A0"/>
    <w:rsid w:val="00C9625E"/>
    <w:rsid w:val="00CA15C5"/>
    <w:rsid w:val="00CA5C42"/>
    <w:rsid w:val="00CB04EE"/>
    <w:rsid w:val="00CD0BD4"/>
    <w:rsid w:val="00CD2D00"/>
    <w:rsid w:val="00CE113B"/>
    <w:rsid w:val="00CE37EF"/>
    <w:rsid w:val="00D00424"/>
    <w:rsid w:val="00D21574"/>
    <w:rsid w:val="00D40B58"/>
    <w:rsid w:val="00D45DBE"/>
    <w:rsid w:val="00D524C9"/>
    <w:rsid w:val="00D67B0E"/>
    <w:rsid w:val="00D7231C"/>
    <w:rsid w:val="00D73CD9"/>
    <w:rsid w:val="00D75FC2"/>
    <w:rsid w:val="00D7742C"/>
    <w:rsid w:val="00D8157E"/>
    <w:rsid w:val="00D8312F"/>
    <w:rsid w:val="00D83F43"/>
    <w:rsid w:val="00D945B9"/>
    <w:rsid w:val="00D96330"/>
    <w:rsid w:val="00DB17F1"/>
    <w:rsid w:val="00DB3A2C"/>
    <w:rsid w:val="00DB7000"/>
    <w:rsid w:val="00DD399E"/>
    <w:rsid w:val="00DE0663"/>
    <w:rsid w:val="00DE1281"/>
    <w:rsid w:val="00DE6C6B"/>
    <w:rsid w:val="00E274A9"/>
    <w:rsid w:val="00E3501D"/>
    <w:rsid w:val="00E57235"/>
    <w:rsid w:val="00E71313"/>
    <w:rsid w:val="00E84520"/>
    <w:rsid w:val="00EA47C4"/>
    <w:rsid w:val="00EA4F51"/>
    <w:rsid w:val="00EC705F"/>
    <w:rsid w:val="00EC71A3"/>
    <w:rsid w:val="00ED1C3C"/>
    <w:rsid w:val="00ED219A"/>
    <w:rsid w:val="00ED494E"/>
    <w:rsid w:val="00EE0D08"/>
    <w:rsid w:val="00EE11F5"/>
    <w:rsid w:val="00EE7922"/>
    <w:rsid w:val="00EF7F44"/>
    <w:rsid w:val="00F00C45"/>
    <w:rsid w:val="00F02F93"/>
    <w:rsid w:val="00F110CD"/>
    <w:rsid w:val="00F1366D"/>
    <w:rsid w:val="00F22497"/>
    <w:rsid w:val="00F24CB0"/>
    <w:rsid w:val="00F415DD"/>
    <w:rsid w:val="00F41E26"/>
    <w:rsid w:val="00F50134"/>
    <w:rsid w:val="00F52838"/>
    <w:rsid w:val="00F84B2A"/>
    <w:rsid w:val="00F85FC1"/>
    <w:rsid w:val="00F8743F"/>
    <w:rsid w:val="00FC267A"/>
    <w:rsid w:val="00FC6F8A"/>
    <w:rsid w:val="00FD0D71"/>
    <w:rsid w:val="00FD20C6"/>
    <w:rsid w:val="00FF12E1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link w:val="Nadpis1Char"/>
    <w:uiPriority w:val="9"/>
    <w:qFormat/>
    <w:pPr>
      <w:keepNext/>
      <w:spacing w:before="480" w:after="120" w:line="280" w:lineRule="atLeast"/>
      <w:jc w:val="both"/>
      <w:outlineLvl w:val="0"/>
    </w:pPr>
    <w:rPr>
      <w:rFonts w:ascii="Garamond" w:hAnsi="Garamond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hAnsi="Garamond"/>
      <w:sz w:val="24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hAnsi="Garamond"/>
      <w:sz w:val="24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hAnsi="Garamond"/>
      <w:sz w:val="24"/>
      <w:szCs w:val="20"/>
      <w:lang w:eastAsia="cs-CZ"/>
    </w:rPr>
  </w:style>
  <w:style w:type="paragraph" w:styleId="Nadpis5">
    <w:name w:val="heading 5"/>
    <w:basedOn w:val="Normln"/>
    <w:link w:val="Nadpis5Char"/>
    <w:uiPriority w:val="9"/>
    <w:qFormat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hAnsi="Garamond"/>
      <w:sz w:val="24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hAnsi="Garamond"/>
      <w:sz w:val="24"/>
      <w:szCs w:val="20"/>
      <w:lang w:eastAsia="cs-CZ"/>
    </w:rPr>
  </w:style>
  <w:style w:type="paragraph" w:styleId="Nadpis7">
    <w:name w:val="heading 7"/>
    <w:basedOn w:val="Normln"/>
    <w:link w:val="Nadpis7Char"/>
    <w:uiPriority w:val="9"/>
    <w:qFormat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hAnsi="Garamond"/>
      <w:sz w:val="24"/>
      <w:szCs w:val="20"/>
      <w:lang w:eastAsia="cs-CZ"/>
    </w:rPr>
  </w:style>
  <w:style w:type="paragraph" w:styleId="Nadpis8">
    <w:name w:val="heading 8"/>
    <w:basedOn w:val="Normln"/>
    <w:link w:val="Nadpis8Char"/>
    <w:uiPriority w:val="9"/>
    <w:qFormat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hAnsi="Garamond"/>
      <w:sz w:val="24"/>
      <w:szCs w:val="20"/>
      <w:lang w:eastAsia="cs-CZ"/>
    </w:rPr>
  </w:style>
  <w:style w:type="paragraph" w:styleId="Nadpis9">
    <w:name w:val="heading 9"/>
    <w:basedOn w:val="Normln"/>
    <w:link w:val="Nadpis9Char"/>
    <w:uiPriority w:val="9"/>
    <w:qFormat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E7922"/>
    <w:rPr>
      <w:rFonts w:ascii="Garamond" w:hAnsi="Garamond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character" w:customStyle="1" w:styleId="h1Char1">
    <w:name w:val="h1 Char1"/>
    <w:aliases w:val="H1 Char1,Nadpis 1-Nadpis smlouvy Char1,Základní kapitola Char1,V_Head1 Char1,Záhlaví 1 Char1,0Überschrift 1 Char1,1Überschrift 1 Char1,2Überschrift 1 Char1,3Überschrift 1 Char1,4Überschrift 1 Char1,5Überschrift 1 Char1,6Überschrift 1 Char1"/>
    <w:rPr>
      <w:rFonts w:ascii="Garamond" w:hAnsi="Garamond"/>
      <w:b/>
      <w:caps/>
      <w:kern w:val="28"/>
      <w:sz w:val="20"/>
      <w:lang w:val="x-none" w:eastAsia="cs-CZ"/>
    </w:rPr>
  </w:style>
  <w:style w:type="character" w:customStyle="1" w:styleId="CharChar14">
    <w:name w:val="Char Char14"/>
    <w:rPr>
      <w:rFonts w:ascii="Garamond" w:hAnsi="Garamond"/>
      <w:sz w:val="24"/>
      <w:lang w:val="cs-CZ" w:eastAsia="cs-CZ"/>
    </w:rPr>
  </w:style>
  <w:style w:type="character" w:customStyle="1" w:styleId="CharChar13">
    <w:name w:val="Char Char13"/>
    <w:rPr>
      <w:rFonts w:ascii="Garamond" w:hAnsi="Garamond"/>
      <w:sz w:val="20"/>
      <w:lang w:val="x-none" w:eastAsia="cs-CZ"/>
    </w:rPr>
  </w:style>
  <w:style w:type="character" w:customStyle="1" w:styleId="CharChar12">
    <w:name w:val="Char Char12"/>
    <w:rPr>
      <w:rFonts w:ascii="Garamond" w:hAnsi="Garamond"/>
      <w:sz w:val="20"/>
      <w:lang w:val="x-none" w:eastAsia="cs-CZ"/>
    </w:rPr>
  </w:style>
  <w:style w:type="character" w:customStyle="1" w:styleId="CharChar11">
    <w:name w:val="Char Char11"/>
    <w:rPr>
      <w:rFonts w:ascii="Garamond" w:hAnsi="Garamond"/>
      <w:sz w:val="20"/>
      <w:lang w:val="x-none" w:eastAsia="cs-CZ"/>
    </w:rPr>
  </w:style>
  <w:style w:type="character" w:customStyle="1" w:styleId="CharChar10">
    <w:name w:val="Char Char10"/>
    <w:rPr>
      <w:rFonts w:ascii="Garamond" w:hAnsi="Garamond"/>
      <w:sz w:val="20"/>
      <w:lang w:val="x-none" w:eastAsia="cs-CZ"/>
    </w:rPr>
  </w:style>
  <w:style w:type="character" w:customStyle="1" w:styleId="CharChar9">
    <w:name w:val="Char Char9"/>
    <w:rPr>
      <w:rFonts w:ascii="Garamond" w:hAnsi="Garamond"/>
      <w:sz w:val="20"/>
      <w:lang w:val="x-none" w:eastAsia="cs-CZ"/>
    </w:rPr>
  </w:style>
  <w:style w:type="character" w:customStyle="1" w:styleId="CharChar8">
    <w:name w:val="Char Char8"/>
    <w:rPr>
      <w:rFonts w:ascii="Garamond" w:hAnsi="Garamond"/>
      <w:sz w:val="20"/>
      <w:lang w:val="x-none" w:eastAsia="cs-CZ"/>
    </w:rPr>
  </w:style>
  <w:style w:type="character" w:customStyle="1" w:styleId="CharChar7">
    <w:name w:val="Char Char7"/>
    <w:rPr>
      <w:rFonts w:ascii="Garamond" w:hAnsi="Garamond"/>
      <w:sz w:val="20"/>
      <w:lang w:val="x-none" w:eastAsia="cs-CZ"/>
    </w:rPr>
  </w:style>
  <w:style w:type="paragraph" w:customStyle="1" w:styleId="Identifikacestran">
    <w:name w:val="Identifikace stran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pPr>
      <w:spacing w:after="0" w:line="280" w:lineRule="atLeast"/>
      <w:jc w:val="center"/>
    </w:pPr>
    <w:rPr>
      <w:rFonts w:ascii="Garamond" w:hAnsi="Garamond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customStyle="1" w:styleId="CharChar6">
    <w:name w:val="Char Char6"/>
    <w:semiHidden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customStyle="1" w:styleId="CharChar5">
    <w:name w:val="Char Char5"/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Smlouva">
    <w:name w:val="Smlouva"/>
    <w:basedOn w:val="Normln"/>
    <w:pPr>
      <w:spacing w:before="120" w:after="0" w:line="240" w:lineRule="atLeast"/>
      <w:jc w:val="both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lang w:val="x-none" w:eastAsia="en-US"/>
    </w:rPr>
  </w:style>
  <w:style w:type="character" w:customStyle="1" w:styleId="CharChar4">
    <w:name w:val="Char Char4"/>
    <w:rPr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lang w:val="x-none" w:eastAsia="en-US"/>
    </w:rPr>
  </w:style>
  <w:style w:type="character" w:customStyle="1" w:styleId="CharChar3">
    <w:name w:val="Char Char3"/>
    <w:semiHidden/>
    <w:rPr>
      <w:b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CharChar2">
    <w:name w:val="Char Char2"/>
    <w:semiHidden/>
    <w:rPr>
      <w:rFonts w:ascii="Tahoma" w:hAnsi="Tahoma"/>
      <w:sz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customStyle="1" w:styleId="CharChar1">
    <w:name w:val="Char Char1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customStyle="1" w:styleId="CharChar">
    <w:name w:val="Char Char"/>
    <w:semiHidden/>
    <w:rPr>
      <w:sz w:val="22"/>
      <w:lang w:val="x-none" w:eastAsia="en-US"/>
    </w:rPr>
  </w:style>
  <w:style w:type="paragraph" w:styleId="Nzev">
    <w:name w:val="Title"/>
    <w:basedOn w:val="Normln"/>
    <w:link w:val="NzevChar"/>
    <w:uiPriority w:val="10"/>
    <w:qFormat/>
    <w:pPr>
      <w:spacing w:after="0" w:line="240" w:lineRule="auto"/>
      <w:jc w:val="center"/>
    </w:pPr>
    <w:rPr>
      <w:rFonts w:ascii="Times New Roman" w:hAnsi="Times New Roman" w:cs="Arial"/>
      <w:b/>
      <w:sz w:val="28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Odstavecseseznamem">
    <w:name w:val="List Paragraph"/>
    <w:basedOn w:val="Normln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Zmnka1">
    <w:name w:val="Zmínka1"/>
    <w:basedOn w:val="Standardnpsmoodstavce"/>
    <w:uiPriority w:val="99"/>
    <w:semiHidden/>
    <w:unhideWhenUsed/>
    <w:rsid w:val="00547EA2"/>
    <w:rPr>
      <w:rFonts w:cs="Times New Roman"/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link w:val="Nadpis1Char"/>
    <w:uiPriority w:val="9"/>
    <w:qFormat/>
    <w:pPr>
      <w:keepNext/>
      <w:spacing w:before="480" w:after="120" w:line="280" w:lineRule="atLeast"/>
      <w:jc w:val="both"/>
      <w:outlineLvl w:val="0"/>
    </w:pPr>
    <w:rPr>
      <w:rFonts w:ascii="Garamond" w:hAnsi="Garamond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hAnsi="Garamond"/>
      <w:sz w:val="24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hAnsi="Garamond"/>
      <w:sz w:val="24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hAnsi="Garamond"/>
      <w:sz w:val="24"/>
      <w:szCs w:val="20"/>
      <w:lang w:eastAsia="cs-CZ"/>
    </w:rPr>
  </w:style>
  <w:style w:type="paragraph" w:styleId="Nadpis5">
    <w:name w:val="heading 5"/>
    <w:basedOn w:val="Normln"/>
    <w:link w:val="Nadpis5Char"/>
    <w:uiPriority w:val="9"/>
    <w:qFormat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hAnsi="Garamond"/>
      <w:sz w:val="24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hAnsi="Garamond"/>
      <w:sz w:val="24"/>
      <w:szCs w:val="20"/>
      <w:lang w:eastAsia="cs-CZ"/>
    </w:rPr>
  </w:style>
  <w:style w:type="paragraph" w:styleId="Nadpis7">
    <w:name w:val="heading 7"/>
    <w:basedOn w:val="Normln"/>
    <w:link w:val="Nadpis7Char"/>
    <w:uiPriority w:val="9"/>
    <w:qFormat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hAnsi="Garamond"/>
      <w:sz w:val="24"/>
      <w:szCs w:val="20"/>
      <w:lang w:eastAsia="cs-CZ"/>
    </w:rPr>
  </w:style>
  <w:style w:type="paragraph" w:styleId="Nadpis8">
    <w:name w:val="heading 8"/>
    <w:basedOn w:val="Normln"/>
    <w:link w:val="Nadpis8Char"/>
    <w:uiPriority w:val="9"/>
    <w:qFormat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hAnsi="Garamond"/>
      <w:sz w:val="24"/>
      <w:szCs w:val="20"/>
      <w:lang w:eastAsia="cs-CZ"/>
    </w:rPr>
  </w:style>
  <w:style w:type="paragraph" w:styleId="Nadpis9">
    <w:name w:val="heading 9"/>
    <w:basedOn w:val="Normln"/>
    <w:link w:val="Nadpis9Char"/>
    <w:uiPriority w:val="9"/>
    <w:qFormat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E7922"/>
    <w:rPr>
      <w:rFonts w:ascii="Garamond" w:hAnsi="Garamond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character" w:customStyle="1" w:styleId="h1Char1">
    <w:name w:val="h1 Char1"/>
    <w:aliases w:val="H1 Char1,Nadpis 1-Nadpis smlouvy Char1,Základní kapitola Char1,V_Head1 Char1,Záhlaví 1 Char1,0Überschrift 1 Char1,1Überschrift 1 Char1,2Überschrift 1 Char1,3Überschrift 1 Char1,4Überschrift 1 Char1,5Überschrift 1 Char1,6Überschrift 1 Char1"/>
    <w:rPr>
      <w:rFonts w:ascii="Garamond" w:hAnsi="Garamond"/>
      <w:b/>
      <w:caps/>
      <w:kern w:val="28"/>
      <w:sz w:val="20"/>
      <w:lang w:val="x-none" w:eastAsia="cs-CZ"/>
    </w:rPr>
  </w:style>
  <w:style w:type="character" w:customStyle="1" w:styleId="CharChar14">
    <w:name w:val="Char Char14"/>
    <w:rPr>
      <w:rFonts w:ascii="Garamond" w:hAnsi="Garamond"/>
      <w:sz w:val="24"/>
      <w:lang w:val="cs-CZ" w:eastAsia="cs-CZ"/>
    </w:rPr>
  </w:style>
  <w:style w:type="character" w:customStyle="1" w:styleId="CharChar13">
    <w:name w:val="Char Char13"/>
    <w:rPr>
      <w:rFonts w:ascii="Garamond" w:hAnsi="Garamond"/>
      <w:sz w:val="20"/>
      <w:lang w:val="x-none" w:eastAsia="cs-CZ"/>
    </w:rPr>
  </w:style>
  <w:style w:type="character" w:customStyle="1" w:styleId="CharChar12">
    <w:name w:val="Char Char12"/>
    <w:rPr>
      <w:rFonts w:ascii="Garamond" w:hAnsi="Garamond"/>
      <w:sz w:val="20"/>
      <w:lang w:val="x-none" w:eastAsia="cs-CZ"/>
    </w:rPr>
  </w:style>
  <w:style w:type="character" w:customStyle="1" w:styleId="CharChar11">
    <w:name w:val="Char Char11"/>
    <w:rPr>
      <w:rFonts w:ascii="Garamond" w:hAnsi="Garamond"/>
      <w:sz w:val="20"/>
      <w:lang w:val="x-none" w:eastAsia="cs-CZ"/>
    </w:rPr>
  </w:style>
  <w:style w:type="character" w:customStyle="1" w:styleId="CharChar10">
    <w:name w:val="Char Char10"/>
    <w:rPr>
      <w:rFonts w:ascii="Garamond" w:hAnsi="Garamond"/>
      <w:sz w:val="20"/>
      <w:lang w:val="x-none" w:eastAsia="cs-CZ"/>
    </w:rPr>
  </w:style>
  <w:style w:type="character" w:customStyle="1" w:styleId="CharChar9">
    <w:name w:val="Char Char9"/>
    <w:rPr>
      <w:rFonts w:ascii="Garamond" w:hAnsi="Garamond"/>
      <w:sz w:val="20"/>
      <w:lang w:val="x-none" w:eastAsia="cs-CZ"/>
    </w:rPr>
  </w:style>
  <w:style w:type="character" w:customStyle="1" w:styleId="CharChar8">
    <w:name w:val="Char Char8"/>
    <w:rPr>
      <w:rFonts w:ascii="Garamond" w:hAnsi="Garamond"/>
      <w:sz w:val="20"/>
      <w:lang w:val="x-none" w:eastAsia="cs-CZ"/>
    </w:rPr>
  </w:style>
  <w:style w:type="character" w:customStyle="1" w:styleId="CharChar7">
    <w:name w:val="Char Char7"/>
    <w:rPr>
      <w:rFonts w:ascii="Garamond" w:hAnsi="Garamond"/>
      <w:sz w:val="20"/>
      <w:lang w:val="x-none" w:eastAsia="cs-CZ"/>
    </w:rPr>
  </w:style>
  <w:style w:type="paragraph" w:customStyle="1" w:styleId="Identifikacestran">
    <w:name w:val="Identifikace stran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pPr>
      <w:spacing w:after="0" w:line="280" w:lineRule="atLeast"/>
      <w:jc w:val="center"/>
    </w:pPr>
    <w:rPr>
      <w:rFonts w:ascii="Garamond" w:hAnsi="Garamond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customStyle="1" w:styleId="CharChar6">
    <w:name w:val="Char Char6"/>
    <w:semiHidden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customStyle="1" w:styleId="CharChar5">
    <w:name w:val="Char Char5"/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Smlouva">
    <w:name w:val="Smlouva"/>
    <w:basedOn w:val="Normln"/>
    <w:pPr>
      <w:spacing w:before="120" w:after="0" w:line="240" w:lineRule="atLeast"/>
      <w:jc w:val="both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lang w:val="x-none" w:eastAsia="en-US"/>
    </w:rPr>
  </w:style>
  <w:style w:type="character" w:customStyle="1" w:styleId="CharChar4">
    <w:name w:val="Char Char4"/>
    <w:rPr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lang w:val="x-none" w:eastAsia="en-US"/>
    </w:rPr>
  </w:style>
  <w:style w:type="character" w:customStyle="1" w:styleId="CharChar3">
    <w:name w:val="Char Char3"/>
    <w:semiHidden/>
    <w:rPr>
      <w:b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CharChar2">
    <w:name w:val="Char Char2"/>
    <w:semiHidden/>
    <w:rPr>
      <w:rFonts w:ascii="Tahoma" w:hAnsi="Tahoma"/>
      <w:sz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customStyle="1" w:styleId="CharChar1">
    <w:name w:val="Char Char1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customStyle="1" w:styleId="CharChar">
    <w:name w:val="Char Char"/>
    <w:semiHidden/>
    <w:rPr>
      <w:sz w:val="22"/>
      <w:lang w:val="x-none" w:eastAsia="en-US"/>
    </w:rPr>
  </w:style>
  <w:style w:type="paragraph" w:styleId="Nzev">
    <w:name w:val="Title"/>
    <w:basedOn w:val="Normln"/>
    <w:link w:val="NzevChar"/>
    <w:uiPriority w:val="10"/>
    <w:qFormat/>
    <w:pPr>
      <w:spacing w:after="0" w:line="240" w:lineRule="auto"/>
      <w:jc w:val="center"/>
    </w:pPr>
    <w:rPr>
      <w:rFonts w:ascii="Times New Roman" w:hAnsi="Times New Roman" w:cs="Arial"/>
      <w:b/>
      <w:sz w:val="28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Odstavecseseznamem">
    <w:name w:val="List Paragraph"/>
    <w:basedOn w:val="Normln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Zmnka1">
    <w:name w:val="Zmínka1"/>
    <w:basedOn w:val="Standardnpsmoodstavce"/>
    <w:uiPriority w:val="99"/>
    <w:semiHidden/>
    <w:unhideWhenUsed/>
    <w:rsid w:val="00547EA2"/>
    <w:rPr>
      <w:rFonts w:cs="Times New Roman"/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venantofmayors.eu/Covenant-technical-material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venantofmayors.eu/Covenant-technical-material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ilohy%20a%20vzory\Vzor_Smlouva%20o%20dilo_stavebni%20pra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8222-6D4C-4968-9DE7-5E53D16B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o dilo_stavebni prace</Template>
  <TotalTime>13</TotalTime>
  <Pages>1</Pages>
  <Words>2804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DSAK</Company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Iveta Bauerová</dc:creator>
  <cp:lastModifiedBy>Jaroslava Bartáková</cp:lastModifiedBy>
  <cp:revision>4</cp:revision>
  <cp:lastPrinted>2017-09-05T11:52:00Z</cp:lastPrinted>
  <dcterms:created xsi:type="dcterms:W3CDTF">2018-07-17T09:14:00Z</dcterms:created>
  <dcterms:modified xsi:type="dcterms:W3CDTF">2018-07-17T09:27:00Z</dcterms:modified>
</cp:coreProperties>
</file>