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B948D" w14:textId="7211A5EB" w:rsidR="00B81659" w:rsidRPr="003D28FC" w:rsidRDefault="00B81659" w:rsidP="007D1E09">
      <w:pPr>
        <w:pStyle w:val="Nadpis1"/>
        <w:jc w:val="right"/>
        <w:rPr>
          <w:rFonts w:ascii="Arial" w:hAnsi="Arial" w:cs="Arial"/>
          <w:b w:val="0"/>
          <w:bCs/>
          <w:i/>
          <w:sz w:val="20"/>
          <w:u w:val="none"/>
        </w:rPr>
      </w:pPr>
      <w:bookmarkStart w:id="0" w:name="_GoBack"/>
      <w:bookmarkEnd w:id="0"/>
      <w:r w:rsidRPr="003D28FC">
        <w:rPr>
          <w:rFonts w:ascii="Arial" w:hAnsi="Arial" w:cs="Arial"/>
          <w:b w:val="0"/>
          <w:bCs/>
          <w:sz w:val="20"/>
          <w:u w:val="none"/>
        </w:rPr>
        <w:t>č.</w:t>
      </w:r>
      <w:r w:rsidR="00C41403">
        <w:rPr>
          <w:rFonts w:ascii="Arial" w:hAnsi="Arial" w:cs="Arial"/>
          <w:b w:val="0"/>
          <w:bCs/>
          <w:sz w:val="20"/>
          <w:u w:val="none"/>
        </w:rPr>
        <w:t xml:space="preserve"> </w:t>
      </w:r>
      <w:r>
        <w:rPr>
          <w:rFonts w:ascii="Arial" w:hAnsi="Arial" w:cs="Arial"/>
          <w:b w:val="0"/>
          <w:bCs/>
          <w:sz w:val="20"/>
          <w:u w:val="none"/>
        </w:rPr>
        <w:t>sml.</w:t>
      </w:r>
      <w:r w:rsidR="007D1E09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7D1E09" w:rsidRPr="007D1E09">
        <w:rPr>
          <w:rFonts w:ascii="Arial" w:hAnsi="Arial" w:cs="Arial"/>
          <w:b w:val="0"/>
          <w:bCs/>
          <w:sz w:val="20"/>
          <w:u w:val="none"/>
        </w:rPr>
        <w:t>7700100617_1/BVB</w:t>
      </w:r>
    </w:p>
    <w:p w14:paraId="3C1EA1EA" w14:textId="77777777" w:rsidR="00B81659" w:rsidRPr="00FA0D4D" w:rsidRDefault="00B81659" w:rsidP="00B81659">
      <w:pPr>
        <w:pStyle w:val="Nadpis1"/>
        <w:jc w:val="center"/>
        <w:rPr>
          <w:rFonts w:ascii="Arial" w:hAnsi="Arial" w:cs="Arial"/>
          <w:sz w:val="32"/>
          <w:szCs w:val="32"/>
          <w:u w:val="none"/>
        </w:rPr>
      </w:pPr>
      <w:r w:rsidRPr="00FA0D4D">
        <w:rPr>
          <w:rFonts w:ascii="Arial" w:hAnsi="Arial" w:cs="Arial"/>
          <w:sz w:val="32"/>
          <w:szCs w:val="32"/>
          <w:u w:val="none"/>
        </w:rPr>
        <w:t>SMLOUVA</w:t>
      </w:r>
    </w:p>
    <w:p w14:paraId="7E366CCA" w14:textId="77777777" w:rsidR="00B81659" w:rsidRPr="00FA0D4D" w:rsidRDefault="00B81659" w:rsidP="00B81659">
      <w:pPr>
        <w:pStyle w:val="Nadpis1"/>
        <w:jc w:val="center"/>
        <w:rPr>
          <w:rFonts w:ascii="Arial" w:hAnsi="Arial" w:cs="Arial"/>
          <w:sz w:val="22"/>
          <w:szCs w:val="22"/>
          <w:u w:val="none"/>
        </w:rPr>
      </w:pPr>
      <w:r w:rsidRPr="00FA0D4D">
        <w:rPr>
          <w:rFonts w:ascii="Arial" w:hAnsi="Arial" w:cs="Arial"/>
          <w:sz w:val="22"/>
          <w:szCs w:val="22"/>
          <w:u w:val="none"/>
        </w:rPr>
        <w:t xml:space="preserve">o budoucí smlouvě o zřízení věcného břemene </w:t>
      </w:r>
    </w:p>
    <w:p w14:paraId="08F878F9" w14:textId="3754259C" w:rsidR="002B5168" w:rsidRPr="00572C55" w:rsidRDefault="002B5168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 w:rsidR="009E1305">
        <w:rPr>
          <w:rFonts w:ascii="Arial" w:hAnsi="Arial" w:cs="Arial"/>
        </w:rPr>
        <w:t>na č. 89/2012</w:t>
      </w:r>
      <w:r w:rsidR="00963200">
        <w:rPr>
          <w:rFonts w:ascii="Arial" w:hAnsi="Arial" w:cs="Arial"/>
        </w:rPr>
        <w:t xml:space="preserve"> Sb.</w:t>
      </w:r>
      <w:r w:rsidR="009E1305">
        <w:rPr>
          <w:rFonts w:ascii="Arial" w:hAnsi="Arial" w:cs="Arial"/>
        </w:rPr>
        <w:t>, občanský zákoník</w:t>
      </w:r>
      <w:r w:rsidR="00F216D7">
        <w:rPr>
          <w:rFonts w:ascii="Arial" w:hAnsi="Arial" w:cs="Arial"/>
        </w:rPr>
        <w:t>, ve znění pozdějších předpisů</w:t>
      </w:r>
    </w:p>
    <w:p w14:paraId="3F459809" w14:textId="77777777" w:rsidR="005B4775" w:rsidRDefault="005B4775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6BE67838" w14:textId="77777777" w:rsidR="00B81659" w:rsidRDefault="00B81659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14:paraId="039EEC37" w14:textId="77777777" w:rsidR="0014549E" w:rsidRDefault="0014549E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77F29811" w14:textId="77777777" w:rsidR="00C542E5" w:rsidRPr="00C542E5" w:rsidRDefault="00C542E5" w:rsidP="00C542E5">
      <w:pPr>
        <w:shd w:val="clear" w:color="auto" w:fill="FFFFFF"/>
        <w:suppressAutoHyphens/>
        <w:jc w:val="both"/>
        <w:rPr>
          <w:rFonts w:ascii="Arial" w:hAnsi="Arial" w:cs="Arial"/>
        </w:rPr>
      </w:pPr>
      <w:r w:rsidRPr="00C542E5">
        <w:rPr>
          <w:rFonts w:ascii="Arial" w:hAnsi="Arial" w:cs="Arial"/>
          <w:b/>
          <w:color w:val="000000"/>
        </w:rPr>
        <w:t>Město</w:t>
      </w:r>
      <w:r w:rsidRPr="00C542E5">
        <w:rPr>
          <w:rFonts w:ascii="Arial" w:hAnsi="Arial" w:cs="Arial"/>
          <w:b/>
        </w:rPr>
        <w:t xml:space="preserve"> Litvínov</w:t>
      </w:r>
    </w:p>
    <w:p w14:paraId="30C0B505" w14:textId="244F1496" w:rsidR="00C542E5" w:rsidRPr="00C542E5" w:rsidRDefault="00C542E5" w:rsidP="00C542E5">
      <w:pPr>
        <w:tabs>
          <w:tab w:val="left" w:pos="1985"/>
        </w:tabs>
        <w:jc w:val="both"/>
        <w:rPr>
          <w:rFonts w:ascii="Arial" w:hAnsi="Arial" w:cs="Arial"/>
        </w:rPr>
      </w:pPr>
      <w:r w:rsidRPr="00C542E5">
        <w:rPr>
          <w:rFonts w:ascii="Arial" w:hAnsi="Arial" w:cs="Arial"/>
        </w:rPr>
        <w:t>se sídlem:</w:t>
      </w:r>
      <w:r w:rsidRPr="00C542E5">
        <w:rPr>
          <w:rFonts w:ascii="Arial" w:hAnsi="Arial" w:cs="Arial"/>
        </w:rPr>
        <w:tab/>
      </w:r>
      <w:r w:rsidR="00795168">
        <w:rPr>
          <w:rFonts w:ascii="Arial" w:hAnsi="Arial" w:cs="Arial"/>
        </w:rPr>
        <w:t xml:space="preserve">Městský úřad Litvínov, </w:t>
      </w:r>
      <w:r w:rsidRPr="00C542E5">
        <w:rPr>
          <w:rFonts w:ascii="Arial" w:hAnsi="Arial" w:cs="Arial"/>
        </w:rPr>
        <w:t>náměstí  Míru č.p.11, PSČ 436 01 Litvínov</w:t>
      </w:r>
    </w:p>
    <w:p w14:paraId="6BED4992" w14:textId="77777777" w:rsidR="00C542E5" w:rsidRPr="00C542E5" w:rsidRDefault="00C542E5" w:rsidP="00C542E5">
      <w:pPr>
        <w:tabs>
          <w:tab w:val="left" w:pos="1985"/>
        </w:tabs>
        <w:jc w:val="both"/>
        <w:rPr>
          <w:rFonts w:ascii="Arial" w:hAnsi="Arial" w:cs="Arial"/>
        </w:rPr>
      </w:pPr>
      <w:r w:rsidRPr="00C542E5">
        <w:rPr>
          <w:rFonts w:ascii="Arial" w:hAnsi="Arial" w:cs="Arial"/>
        </w:rPr>
        <w:t xml:space="preserve">IČ: </w:t>
      </w:r>
      <w:r w:rsidRPr="00C542E5">
        <w:rPr>
          <w:rFonts w:ascii="Arial" w:hAnsi="Arial" w:cs="Arial"/>
        </w:rPr>
        <w:tab/>
        <w:t>00266027</w:t>
      </w:r>
    </w:p>
    <w:p w14:paraId="092C4E31" w14:textId="77777777" w:rsidR="00C542E5" w:rsidRPr="00C542E5" w:rsidRDefault="00C542E5" w:rsidP="00C542E5">
      <w:pPr>
        <w:tabs>
          <w:tab w:val="left" w:pos="1985"/>
        </w:tabs>
        <w:jc w:val="both"/>
        <w:rPr>
          <w:rFonts w:ascii="Arial" w:hAnsi="Arial" w:cs="Arial"/>
        </w:rPr>
      </w:pPr>
      <w:r w:rsidRPr="00C542E5">
        <w:rPr>
          <w:rFonts w:ascii="Arial" w:hAnsi="Arial" w:cs="Arial"/>
        </w:rPr>
        <w:t xml:space="preserve">DIČ: </w:t>
      </w:r>
      <w:r w:rsidRPr="00C542E5">
        <w:rPr>
          <w:rFonts w:ascii="Arial" w:hAnsi="Arial" w:cs="Arial"/>
        </w:rPr>
        <w:tab/>
        <w:t>CZ00266027</w:t>
      </w:r>
    </w:p>
    <w:p w14:paraId="03C073DD" w14:textId="4E46ED50" w:rsidR="00C542E5" w:rsidRPr="00C542E5" w:rsidRDefault="00C542E5" w:rsidP="00C542E5">
      <w:pPr>
        <w:pStyle w:val="Textvtabulce"/>
        <w:tabs>
          <w:tab w:val="left" w:pos="426"/>
          <w:tab w:val="left" w:pos="1985"/>
        </w:tabs>
        <w:rPr>
          <w:rFonts w:ascii="Arial" w:hAnsi="Arial" w:cs="Arial"/>
        </w:rPr>
      </w:pPr>
      <w:r w:rsidRPr="00C542E5">
        <w:rPr>
          <w:rFonts w:ascii="Arial" w:hAnsi="Arial" w:cs="Arial"/>
          <w:sz w:val="20"/>
          <w:szCs w:val="20"/>
        </w:rPr>
        <w:t>zastoupeno:</w:t>
      </w:r>
      <w:r w:rsidRPr="00C542E5">
        <w:rPr>
          <w:rFonts w:ascii="Arial" w:hAnsi="Arial" w:cs="Arial"/>
          <w:sz w:val="20"/>
          <w:szCs w:val="20"/>
        </w:rPr>
        <w:tab/>
      </w:r>
      <w:r w:rsidR="00795168">
        <w:rPr>
          <w:rFonts w:ascii="Arial" w:hAnsi="Arial" w:cs="Arial"/>
          <w:iCs/>
          <w:sz w:val="20"/>
          <w:szCs w:val="20"/>
        </w:rPr>
        <w:t xml:space="preserve">Mgr. </w:t>
      </w:r>
      <w:r w:rsidRPr="00C542E5">
        <w:rPr>
          <w:rFonts w:ascii="Arial" w:hAnsi="Arial" w:cs="Arial"/>
          <w:iCs/>
          <w:sz w:val="20"/>
          <w:szCs w:val="20"/>
        </w:rPr>
        <w:t xml:space="preserve">Kamilou Bláhovou, starostkou města </w:t>
      </w:r>
    </w:p>
    <w:p w14:paraId="09299265" w14:textId="77777777" w:rsidR="00C542E5" w:rsidRPr="00C542E5" w:rsidRDefault="00C542E5" w:rsidP="00C542E5">
      <w:pPr>
        <w:tabs>
          <w:tab w:val="left" w:pos="1985"/>
        </w:tabs>
        <w:rPr>
          <w:rFonts w:ascii="Arial" w:hAnsi="Arial" w:cs="Arial"/>
        </w:rPr>
      </w:pPr>
      <w:r w:rsidRPr="00C542E5">
        <w:rPr>
          <w:rFonts w:ascii="Arial" w:hAnsi="Arial" w:cs="Arial"/>
        </w:rPr>
        <w:t>bankovní spojení:</w:t>
      </w:r>
      <w:r w:rsidRPr="00C542E5">
        <w:rPr>
          <w:rFonts w:ascii="Arial" w:hAnsi="Arial" w:cs="Arial"/>
        </w:rPr>
        <w:tab/>
        <w:t>Komerční banka  a.s. pobočka Litvínov</w:t>
      </w:r>
    </w:p>
    <w:p w14:paraId="1AE1ED82" w14:textId="77777777" w:rsidR="00C542E5" w:rsidRPr="00C542E5" w:rsidRDefault="00C542E5" w:rsidP="00C542E5">
      <w:pPr>
        <w:tabs>
          <w:tab w:val="left" w:pos="1985"/>
        </w:tabs>
        <w:rPr>
          <w:rFonts w:ascii="Arial" w:hAnsi="Arial" w:cs="Arial"/>
        </w:rPr>
      </w:pPr>
      <w:r w:rsidRPr="00C542E5">
        <w:rPr>
          <w:rFonts w:ascii="Arial" w:hAnsi="Arial" w:cs="Arial"/>
        </w:rPr>
        <w:t>číslo účtu.:</w:t>
      </w:r>
      <w:r w:rsidRPr="00C542E5">
        <w:rPr>
          <w:rFonts w:ascii="Arial" w:hAnsi="Arial" w:cs="Arial"/>
        </w:rPr>
        <w:tab/>
        <w:t xml:space="preserve">190000921491/0100 </w:t>
      </w:r>
    </w:p>
    <w:p w14:paraId="4989C05C" w14:textId="40F4C50C" w:rsidR="00383F25" w:rsidRDefault="00383F25" w:rsidP="00212759">
      <w:pPr>
        <w:jc w:val="both"/>
        <w:rPr>
          <w:rFonts w:ascii="Arial" w:hAnsi="Arial" w:cs="Arial"/>
          <w:b/>
          <w:bCs/>
          <w:noProof/>
        </w:rPr>
      </w:pPr>
    </w:p>
    <w:p w14:paraId="44A56835" w14:textId="77777777" w:rsidR="00B81659" w:rsidRPr="00B56308" w:rsidRDefault="00B81659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14:paraId="189B8A7B" w14:textId="77777777" w:rsidR="00B81659" w:rsidRPr="00EB733D" w:rsidRDefault="00B81659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  <w:sz w:val="20"/>
        </w:rPr>
      </w:pPr>
    </w:p>
    <w:p w14:paraId="221C4044" w14:textId="77777777" w:rsidR="00B81659" w:rsidRPr="00B81659" w:rsidRDefault="00B81659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0DA314B" w14:textId="77777777" w:rsidR="00B81659" w:rsidRPr="00B56308" w:rsidRDefault="00B81659" w:rsidP="00B81659">
      <w:pPr>
        <w:jc w:val="both"/>
        <w:rPr>
          <w:rFonts w:ascii="Arial" w:hAnsi="Arial" w:cs="Arial"/>
        </w:rPr>
      </w:pPr>
    </w:p>
    <w:p w14:paraId="3DA1D3C0" w14:textId="57D5A532" w:rsidR="0023475B" w:rsidRDefault="0023475B" w:rsidP="002347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GasNet, s.r.o.</w:t>
      </w:r>
    </w:p>
    <w:p w14:paraId="04454DDC" w14:textId="2F7E0618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624D9C" w:rsidRPr="00624D9C">
        <w:rPr>
          <w:rFonts w:ascii="Arial" w:hAnsi="Arial" w:cs="Arial"/>
        </w:rPr>
        <w:t>Klíšská 940/96, Klíše, 400 01 Ústí nad Labem</w:t>
      </w:r>
    </w:p>
    <w:p w14:paraId="71C8B3FB" w14:textId="77777777" w:rsidR="0023475B" w:rsidRDefault="0023475B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14:paraId="3BAD93D4" w14:textId="77777777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14:paraId="0D0CF85F" w14:textId="77777777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14:paraId="4E436081" w14:textId="2AEE668B" w:rsidR="0023475B" w:rsidRDefault="00394DD9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 w:rsidR="0023475B">
        <w:rPr>
          <w:rFonts w:ascii="Arial" w:hAnsi="Arial" w:cs="Arial"/>
          <w:b/>
          <w:bCs/>
        </w:rPr>
        <w:t>astoupen</w:t>
      </w:r>
      <w:r w:rsidR="00963781">
        <w:rPr>
          <w:rFonts w:ascii="Arial" w:hAnsi="Arial" w:cs="Arial"/>
          <w:b/>
          <w:bCs/>
        </w:rPr>
        <w:t>a</w:t>
      </w:r>
      <w:r w:rsidR="0023475B">
        <w:rPr>
          <w:rFonts w:ascii="Arial" w:hAnsi="Arial" w:cs="Arial"/>
          <w:b/>
          <w:bCs/>
        </w:rPr>
        <w:t xml:space="preserve"> na základě plné moci společností </w:t>
      </w:r>
    </w:p>
    <w:p w14:paraId="09DA0C62" w14:textId="77777777" w:rsidR="0023475B" w:rsidRDefault="0023475B" w:rsidP="0023475B">
      <w:pPr>
        <w:rPr>
          <w:rFonts w:ascii="Arial" w:hAnsi="Arial" w:cs="Arial"/>
          <w:b/>
          <w:bCs/>
        </w:rPr>
      </w:pPr>
    </w:p>
    <w:p w14:paraId="0D19C513" w14:textId="467A55B8" w:rsidR="0023475B" w:rsidRDefault="00C43C49" w:rsidP="002347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GridServices</w:t>
      </w:r>
      <w:r w:rsidR="0023475B">
        <w:rPr>
          <w:rFonts w:ascii="Arial" w:hAnsi="Arial" w:cs="Arial"/>
          <w:b/>
          <w:bCs/>
        </w:rPr>
        <w:t>, s.r.o.</w:t>
      </w:r>
    </w:p>
    <w:p w14:paraId="30AA2998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025842" w:rsidRPr="0005234E">
        <w:rPr>
          <w:rFonts w:ascii="Arial" w:hAnsi="Arial" w:cs="Arial"/>
        </w:rPr>
        <w:t>Plynárenská 499/1, Zábrdovice, 602 00 Brno</w:t>
      </w:r>
    </w:p>
    <w:p w14:paraId="0B0A6ED5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14:paraId="2A4AA737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14:paraId="0CFDA78D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14:paraId="5E612BA2" w14:textId="77777777" w:rsidR="00E258B9" w:rsidRPr="00795168" w:rsidRDefault="00E258B9" w:rsidP="00E258B9">
      <w:pPr>
        <w:rPr>
          <w:rFonts w:ascii="Arial" w:hAnsi="Arial" w:cs="Arial"/>
        </w:rPr>
      </w:pPr>
      <w:r w:rsidRPr="00795168">
        <w:rPr>
          <w:rFonts w:ascii="Arial" w:hAnsi="Arial" w:cs="Arial"/>
        </w:rPr>
        <w:t>Z</w:t>
      </w:r>
      <w:r w:rsidR="00C542E5" w:rsidRPr="00795168">
        <w:rPr>
          <w:rFonts w:ascii="Arial" w:hAnsi="Arial" w:cs="Arial"/>
        </w:rPr>
        <w:t>astoupena</w:t>
      </w:r>
      <w:r w:rsidRPr="00795168">
        <w:rPr>
          <w:rFonts w:ascii="Arial" w:hAnsi="Arial" w:cs="Arial"/>
        </w:rPr>
        <w:t xml:space="preserve"> na základě plné moci</w:t>
      </w:r>
      <w:r w:rsidR="00C542E5" w:rsidRPr="00795168">
        <w:rPr>
          <w:rFonts w:ascii="Arial" w:hAnsi="Arial" w:cs="Arial"/>
        </w:rPr>
        <w:t xml:space="preserve">  </w:t>
      </w:r>
      <w:r w:rsidRPr="00795168">
        <w:rPr>
          <w:rFonts w:ascii="Arial" w:hAnsi="Arial" w:cs="Arial"/>
        </w:rPr>
        <w:t xml:space="preserve">:  Mgr. Pavlínou Duškovou, vedoucí oddělení správy nemovitého </w:t>
      </w:r>
    </w:p>
    <w:p w14:paraId="5B44947A" w14:textId="5426F0CF" w:rsidR="00E258B9" w:rsidRPr="00795168" w:rsidRDefault="00E258B9" w:rsidP="00E258B9">
      <w:pPr>
        <w:rPr>
          <w:rFonts w:ascii="Arial" w:hAnsi="Arial" w:cs="Arial"/>
        </w:rPr>
      </w:pPr>
      <w:r w:rsidRPr="00795168">
        <w:rPr>
          <w:rFonts w:ascii="Arial" w:hAnsi="Arial" w:cs="Arial"/>
        </w:rPr>
        <w:t xml:space="preserve">majetku – Čechy západ a Martinou Wiedermannovou, technikem </w:t>
      </w:r>
      <w:r w:rsidR="00DA2F2E">
        <w:rPr>
          <w:rFonts w:ascii="Arial" w:hAnsi="Arial" w:cs="Arial"/>
        </w:rPr>
        <w:t>správy nemovitého majetku</w:t>
      </w:r>
    </w:p>
    <w:p w14:paraId="1AFA752C" w14:textId="28FCE80E" w:rsidR="00C542E5" w:rsidRPr="00C542E5" w:rsidRDefault="00C542E5" w:rsidP="00C542E5">
      <w:pPr>
        <w:shd w:val="clear" w:color="auto" w:fill="FFFFFF"/>
        <w:ind w:left="16"/>
        <w:jc w:val="both"/>
        <w:rPr>
          <w:rFonts w:ascii="Arial" w:hAnsi="Arial" w:cs="Arial"/>
        </w:rPr>
      </w:pPr>
    </w:p>
    <w:p w14:paraId="78F6D15D" w14:textId="77777777" w:rsidR="00B81659" w:rsidRDefault="00B81659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14:paraId="1136EE25" w14:textId="77777777" w:rsidR="00B81659" w:rsidRDefault="00B81659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14:paraId="6319031C" w14:textId="77777777" w:rsidR="008B6CA7" w:rsidRPr="008B6CA7" w:rsidRDefault="008B6CA7" w:rsidP="008B6CA7"/>
    <w:p w14:paraId="035ABEBD" w14:textId="24861C17" w:rsidR="0014549E" w:rsidRPr="00BB216A" w:rsidRDefault="001F6C4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 xml:space="preserve">pozemků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566/2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566/7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566/9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566/10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566/11,</w:t>
      </w:r>
      <w:r w:rsidRPr="00EB3D47">
        <w:rPr>
          <w:rFonts w:ascii="Arial" w:hAnsi="Arial" w:cs="Arial"/>
          <w:noProof/>
        </w:rPr>
        <w:t xml:space="preserve">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566/12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566/13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566/15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566/28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566/106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566/16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566/29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673/12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680/5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680/1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680/3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680/7,</w:t>
      </w:r>
      <w:r w:rsidRPr="00EB3D47">
        <w:rPr>
          <w:rFonts w:ascii="Arial" w:hAnsi="Arial" w:cs="Arial"/>
          <w:noProof/>
        </w:rPr>
        <w:t xml:space="preserve">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680/8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680/9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680/13,</w:t>
      </w:r>
      <w:r w:rsidRPr="00EB3D47">
        <w:rPr>
          <w:rFonts w:ascii="Arial" w:hAnsi="Arial" w:cs="Arial"/>
          <w:noProof/>
        </w:rPr>
        <w:t xml:space="preserve">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680/14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680/15,</w:t>
      </w:r>
      <w:r w:rsidRPr="00EB3D47">
        <w:rPr>
          <w:rFonts w:ascii="Arial" w:hAnsi="Arial" w:cs="Arial"/>
          <w:noProof/>
        </w:rPr>
        <w:t xml:space="preserve">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</w:t>
      </w:r>
      <w:r w:rsidRPr="00C542E5">
        <w:rPr>
          <w:rFonts w:ascii="Arial" w:hAnsi="Arial" w:cs="Arial"/>
          <w:b/>
        </w:rPr>
        <w:t xml:space="preserve">. </w:t>
      </w:r>
      <w:r w:rsidRPr="00C542E5">
        <w:rPr>
          <w:rFonts w:ascii="Arial" w:hAnsi="Arial" w:cs="Arial"/>
          <w:b/>
          <w:noProof/>
        </w:rPr>
        <w:t>680/10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680/16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680/17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1025/1,</w:t>
      </w:r>
      <w:r w:rsidRPr="00EB3D47">
        <w:rPr>
          <w:rFonts w:ascii="Arial" w:hAnsi="Arial" w:cs="Arial"/>
          <w:noProof/>
        </w:rPr>
        <w:t xml:space="preserve">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1025/5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5B7DBD">
        <w:rPr>
          <w:rFonts w:ascii="Arial" w:hAnsi="Arial" w:cs="Arial"/>
          <w:b/>
          <w:noProof/>
        </w:rPr>
        <w:t>1025/9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1025/15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1025/4,</w:t>
      </w:r>
      <w:r w:rsidRPr="00EB3D47">
        <w:rPr>
          <w:rFonts w:ascii="Arial" w:hAnsi="Arial" w:cs="Arial"/>
          <w:noProof/>
        </w:rPr>
        <w:t xml:space="preserve">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1025/29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1025/31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1025/32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1025/33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1025/34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</w:t>
      </w:r>
      <w:r w:rsidRPr="00C542E5">
        <w:rPr>
          <w:rFonts w:ascii="Arial" w:hAnsi="Arial" w:cs="Arial"/>
          <w:b/>
        </w:rPr>
        <w:t xml:space="preserve">. </w:t>
      </w:r>
      <w:r w:rsidRPr="00C542E5">
        <w:rPr>
          <w:rFonts w:ascii="Arial" w:hAnsi="Arial" w:cs="Arial"/>
          <w:b/>
          <w:noProof/>
        </w:rPr>
        <w:t>1025/37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1025/38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1028/4</w:t>
      </w:r>
      <w:r w:rsidRPr="00EB3D47">
        <w:rPr>
          <w:rFonts w:ascii="Arial" w:hAnsi="Arial" w:cs="Arial"/>
          <w:noProof/>
        </w:rPr>
        <w:t xml:space="preserve">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C542E5">
        <w:rPr>
          <w:rFonts w:ascii="Arial" w:hAnsi="Arial" w:cs="Arial"/>
          <w:b/>
          <w:noProof/>
        </w:rPr>
        <w:t>1053/1</w:t>
      </w:r>
      <w:r w:rsidRPr="00EB3D47">
        <w:rPr>
          <w:rFonts w:ascii="Arial" w:hAnsi="Arial" w:cs="Arial"/>
          <w:noProof/>
        </w:rPr>
        <w:t>, 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k.ú. </w:t>
      </w:r>
      <w:r w:rsidRPr="00BE636F">
        <w:rPr>
          <w:rFonts w:ascii="Arial" w:hAnsi="Arial" w:cs="Arial"/>
          <w:noProof/>
        </w:rPr>
        <w:t>Hamr u Litvínova</w:t>
      </w:r>
      <w:r w:rsidRPr="00A73122">
        <w:rPr>
          <w:rFonts w:ascii="Arial" w:hAnsi="Arial" w:cs="Arial"/>
        </w:rPr>
        <w:t xml:space="preserve">, obec </w:t>
      </w:r>
      <w:r w:rsidRPr="00BE636F">
        <w:rPr>
          <w:rFonts w:ascii="Arial" w:hAnsi="Arial" w:cs="Arial"/>
          <w:noProof/>
        </w:rPr>
        <w:t>Litvínov</w:t>
      </w:r>
      <w:r w:rsidRPr="00A73122">
        <w:rPr>
          <w:rFonts w:ascii="Arial" w:hAnsi="Arial" w:cs="Arial"/>
        </w:rPr>
        <w:t xml:space="preserve">, u Katastrálního úřadu pro </w:t>
      </w:r>
      <w:r w:rsidRPr="00715F49">
        <w:rPr>
          <w:rFonts w:ascii="Arial" w:hAnsi="Arial" w:cs="Arial"/>
          <w:noProof/>
        </w:rPr>
        <w:t>Ústecký kraj</w:t>
      </w:r>
      <w:r w:rsidRPr="00A73122">
        <w:rPr>
          <w:rFonts w:ascii="Arial" w:hAnsi="Arial" w:cs="Arial"/>
        </w:rPr>
        <w:t xml:space="preserve">, </w:t>
      </w:r>
      <w:r w:rsidR="00971CD6"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 w:rsidRPr="00BE636F">
        <w:rPr>
          <w:rFonts w:ascii="Arial" w:hAnsi="Arial" w:cs="Arial"/>
          <w:noProof/>
        </w:rPr>
        <w:t>Most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14:paraId="4B53FC1A" w14:textId="77777777" w:rsidR="00B81659" w:rsidRPr="00C542E5" w:rsidRDefault="00B81659" w:rsidP="00B81659">
      <w:pPr>
        <w:pStyle w:val="Nadpis4"/>
        <w:rPr>
          <w:rFonts w:ascii="Arial" w:hAnsi="Arial" w:cs="Arial"/>
          <w:szCs w:val="22"/>
        </w:rPr>
      </w:pPr>
    </w:p>
    <w:p w14:paraId="4F2E1717" w14:textId="34CA8CAC" w:rsidR="00C542E5" w:rsidRDefault="00C542E5" w:rsidP="005C13DA">
      <w:pPr>
        <w:jc w:val="both"/>
        <w:rPr>
          <w:rFonts w:ascii="Arial" w:hAnsi="Arial" w:cs="Arial"/>
        </w:rPr>
      </w:pPr>
      <w:r w:rsidRPr="00C542E5">
        <w:rPr>
          <w:rFonts w:ascii="Arial" w:hAnsi="Arial" w:cs="Arial"/>
        </w:rPr>
        <w:t xml:space="preserve">Uzavřením této smlouvy budoucí povinný v souladu s příslušnými ustanoveními zákona č. 183/2006 Sb., o územním plánování a stavebním řádu, ve znění pozdějších předpisů, uděluje budoucímu oprávněnému a jím pověřeným osobám právo provést stavbu plynárenského zařízení </w:t>
      </w:r>
      <w:r w:rsidRPr="00C542E5">
        <w:rPr>
          <w:rFonts w:ascii="Arial" w:hAnsi="Arial" w:cs="Arial"/>
          <w:b/>
        </w:rPr>
        <w:t>„REKO MS Litvínov - Hamr 2.etapa., číslo stavby: 7700100617</w:t>
      </w:r>
      <w:r w:rsidRPr="00C542E5">
        <w:rPr>
          <w:rFonts w:ascii="Arial" w:hAnsi="Arial" w:cs="Arial"/>
          <w:b/>
          <w:noProof/>
        </w:rPr>
        <w:t>“</w:t>
      </w:r>
      <w:r w:rsidRPr="00C542E5">
        <w:rPr>
          <w:rFonts w:ascii="Arial" w:hAnsi="Arial" w:cs="Arial"/>
          <w:b/>
          <w:bCs/>
        </w:rPr>
        <w:t xml:space="preserve"> </w:t>
      </w:r>
      <w:r w:rsidRPr="00C542E5">
        <w:rPr>
          <w:rFonts w:ascii="Arial" w:hAnsi="Arial" w:cs="Arial"/>
          <w:bCs/>
        </w:rPr>
        <w:t xml:space="preserve">včetně </w:t>
      </w:r>
      <w:r w:rsidRPr="00C542E5">
        <w:rPr>
          <w:rFonts w:ascii="Arial" w:hAnsi="Arial" w:cs="Arial"/>
        </w:rPr>
        <w:t>jeho součástí, příslušenství, opěrných a vytyčovacích bodů</w:t>
      </w:r>
      <w:r w:rsidRPr="00C542E5">
        <w:rPr>
          <w:rFonts w:ascii="Arial" w:hAnsi="Arial" w:cs="Arial"/>
          <w:bCs/>
        </w:rPr>
        <w:t xml:space="preserve"> (dále jen „</w:t>
      </w:r>
      <w:r w:rsidRPr="00C542E5">
        <w:rPr>
          <w:rFonts w:ascii="Arial" w:hAnsi="Arial" w:cs="Arial"/>
          <w:b/>
          <w:bCs/>
        </w:rPr>
        <w:t>plynárenské zařízení“</w:t>
      </w:r>
      <w:r w:rsidRPr="00C542E5">
        <w:rPr>
          <w:rFonts w:ascii="Arial" w:hAnsi="Arial" w:cs="Arial"/>
          <w:bCs/>
        </w:rPr>
        <w:t>) na budoucích služebných pozemcích. T</w:t>
      </w:r>
      <w:r w:rsidRPr="00C542E5">
        <w:rPr>
          <w:rFonts w:ascii="Arial" w:hAnsi="Arial" w:cs="Arial"/>
        </w:rPr>
        <w:t xml:space="preserve">rasa plynárenského zařízení je vyznačena v kopii katastrální mapy, jež tvoří nedílnou součást této smlouvy. </w:t>
      </w:r>
    </w:p>
    <w:p w14:paraId="5983646C" w14:textId="77777777" w:rsidR="005C13DA" w:rsidRPr="003F55AF" w:rsidRDefault="005C13DA" w:rsidP="005C13DA">
      <w:pPr>
        <w:jc w:val="both"/>
        <w:rPr>
          <w:rFonts w:cs="Arial"/>
          <w:szCs w:val="22"/>
        </w:rPr>
      </w:pPr>
    </w:p>
    <w:p w14:paraId="3638A240" w14:textId="77777777" w:rsidR="00C542E5" w:rsidRPr="003F55AF" w:rsidRDefault="00C542E5" w:rsidP="00C542E5">
      <w:pPr>
        <w:pStyle w:val="Nadpis4"/>
        <w:rPr>
          <w:rFonts w:cs="Arial"/>
          <w:b w:val="0"/>
          <w:szCs w:val="22"/>
        </w:rPr>
      </w:pPr>
      <w:r w:rsidRPr="003F55AF">
        <w:rPr>
          <w:rFonts w:cs="Arial"/>
          <w:b w:val="0"/>
          <w:szCs w:val="22"/>
        </w:rPr>
        <w:lastRenderedPageBreak/>
        <w:t>II.</w:t>
      </w:r>
    </w:p>
    <w:p w14:paraId="35B5435F" w14:textId="77777777" w:rsidR="00C542E5" w:rsidRPr="003F55AF" w:rsidRDefault="00C542E5" w:rsidP="00C542E5">
      <w:pPr>
        <w:pStyle w:val="Normlntextsmlouvy"/>
        <w:rPr>
          <w:bCs/>
        </w:rPr>
      </w:pPr>
      <w:r w:rsidRPr="003F55AF">
        <w:t xml:space="preserve">Smluvní strany se dohodly, že nejpozději do jednoho roku po doručení kolaudačního souhlasu k plynárenskému zařízení, nebo jiného dokladu vydaného (potvrzeného) stavebním úřadem, kterým se prokáže, že lze stavbu plynárenského zařízení užívat, nejpozději však do </w:t>
      </w:r>
      <w:r>
        <w:t>roku 2024</w:t>
      </w:r>
      <w:r w:rsidRPr="003F55AF">
        <w:t xml:space="preserve">, uzavřou, v souladu s příslušnými ustanoveními zákona č. 458/2000 Sb., o podmínkách podnikání a o výkonu státní správy v energetických odvětvích a o změně některých zákonů (energetický zákon), ve znění pozdějších předpisů (dále jen </w:t>
      </w:r>
      <w:r w:rsidRPr="003F55AF">
        <w:rPr>
          <w:b/>
          <w:i/>
        </w:rPr>
        <w:t>„EZ“</w:t>
      </w:r>
      <w:r w:rsidRPr="003F55AF">
        <w:t xml:space="preserve">), smlouvu o zřízení věcného břemene (dále jen </w:t>
      </w:r>
      <w:r w:rsidRPr="003F55AF">
        <w:rPr>
          <w:b/>
          <w:i/>
        </w:rPr>
        <w:t>„smlouva o VB“</w:t>
      </w:r>
      <w:r w:rsidRPr="003F55AF">
        <w:t>), jejímž předmětem bude na dobu neurčitou úplatně zřízeno věcné břemeno pozemkové služebnosti spočívající v:</w:t>
      </w:r>
    </w:p>
    <w:p w14:paraId="05E6705A" w14:textId="77777777" w:rsidR="00C542E5" w:rsidRPr="003F55AF" w:rsidRDefault="00C542E5" w:rsidP="00C542E5">
      <w:pPr>
        <w:pStyle w:val="Normlntextsmlouvy"/>
        <w:numPr>
          <w:ilvl w:val="1"/>
          <w:numId w:val="4"/>
        </w:numPr>
        <w:tabs>
          <w:tab w:val="clear" w:pos="284"/>
          <w:tab w:val="clear" w:pos="1440"/>
        </w:tabs>
        <w:spacing w:before="0"/>
        <w:ind w:left="1134" w:hanging="425"/>
        <w:rPr>
          <w:bCs/>
        </w:rPr>
      </w:pPr>
      <w:r w:rsidRPr="003F55AF">
        <w:t>právu zřídit a provozovat na budoucím služebném pozemku plynárenské zařízení,</w:t>
      </w:r>
    </w:p>
    <w:p w14:paraId="7470E231" w14:textId="77777777" w:rsidR="00C542E5" w:rsidRPr="003F55AF" w:rsidRDefault="00C542E5" w:rsidP="00C542E5">
      <w:pPr>
        <w:pStyle w:val="Normlntextsmlouvy"/>
        <w:numPr>
          <w:ilvl w:val="1"/>
          <w:numId w:val="4"/>
        </w:numPr>
        <w:tabs>
          <w:tab w:val="clear" w:pos="284"/>
          <w:tab w:val="clear" w:pos="1440"/>
        </w:tabs>
        <w:spacing w:before="0"/>
        <w:ind w:left="1134" w:hanging="425"/>
        <w:rPr>
          <w:bCs/>
        </w:rPr>
      </w:pPr>
      <w:r w:rsidRPr="003F55AF">
        <w:t>právu vstupovat a vjíždět na budoucí služebný pozemek v souvislosti se zřizováním, stavebními úpravami,</w:t>
      </w:r>
      <w:r w:rsidRPr="003F55AF">
        <w:rPr>
          <w:bCs/>
        </w:rPr>
        <w:t xml:space="preserve"> opravami, provozováním a odstraněním plynárenského zařízení</w:t>
      </w:r>
    </w:p>
    <w:p w14:paraId="29A2662B" w14:textId="77777777" w:rsidR="00C542E5" w:rsidRPr="003F55AF" w:rsidRDefault="00C542E5" w:rsidP="00C542E5">
      <w:pPr>
        <w:pStyle w:val="Normlntextsmlouvy"/>
        <w:spacing w:before="0"/>
        <w:rPr>
          <w:bCs/>
        </w:rPr>
      </w:pPr>
      <w:r w:rsidRPr="003F55AF">
        <w:rPr>
          <w:bCs/>
        </w:rPr>
        <w:t xml:space="preserve">(dále jen </w:t>
      </w:r>
      <w:r w:rsidRPr="003F55AF">
        <w:rPr>
          <w:b/>
          <w:bCs/>
          <w:i/>
        </w:rPr>
        <w:t>„věcné břemeno“</w:t>
      </w:r>
      <w:r w:rsidRPr="003F55AF">
        <w:rPr>
          <w:bCs/>
        </w:rPr>
        <w:t>).</w:t>
      </w:r>
    </w:p>
    <w:p w14:paraId="5636368B" w14:textId="77777777" w:rsidR="00C542E5" w:rsidRPr="003F55AF" w:rsidRDefault="00C542E5" w:rsidP="00C542E5">
      <w:pPr>
        <w:pStyle w:val="Normlntextsmlouvy"/>
      </w:pPr>
      <w:r w:rsidRPr="003F55AF">
        <w:t xml:space="preserve">Smluvní strany se dále dohodly na šíři věcného břemene </w:t>
      </w:r>
      <w:r>
        <w:t>1</w:t>
      </w:r>
      <w:r w:rsidRPr="003F55AF">
        <w:t xml:space="preserve"> m na obě strany od půdorysu plynárenského zařízení. Geometrický plán, kterým se vyznačí část budoucího služebného pozemku dotčeného věcným břemenem, nechá na své náklady vyhotovit budoucí oprávněný.</w:t>
      </w:r>
    </w:p>
    <w:p w14:paraId="78D751CD" w14:textId="77777777" w:rsidR="00C542E5" w:rsidRPr="003F55AF" w:rsidRDefault="00C542E5" w:rsidP="00C542E5">
      <w:pPr>
        <w:pStyle w:val="Normlntextsmlouvy"/>
      </w:pPr>
      <w:r w:rsidRPr="003F55AF">
        <w:t>Budoucí oprávněný se zavazuje vyhotovit a zkompletovat příslušný počet výtisků smlouvy o VB a prokazatelně je doručit budoucímu povinnému.</w:t>
      </w:r>
    </w:p>
    <w:p w14:paraId="776A2778" w14:textId="77777777" w:rsidR="00C542E5" w:rsidRDefault="00C542E5" w:rsidP="00C542E5">
      <w:pPr>
        <w:pStyle w:val="Normlntextsmlouvy"/>
      </w:pPr>
      <w:r w:rsidRPr="003F55AF">
        <w:t>Budoucí povinný se zavazuje nejpozději do 30 dnů od jejího doručení smlouvu o VB podepsat, přičemž na jejím prvopisu úředně ověří svůj vlastnoruční podpis, a prokazatelně ji doručit budoucímu oprávněnému, který následně</w:t>
      </w:r>
      <w:r>
        <w:t xml:space="preserve"> </w:t>
      </w:r>
      <w:r w:rsidRPr="003F55AF">
        <w:t>podá návrh na zápis věcného břemene do katastru nemovitostí.</w:t>
      </w:r>
    </w:p>
    <w:p w14:paraId="3E792C7E" w14:textId="77777777" w:rsidR="00C542E5" w:rsidRPr="003F55AF" w:rsidRDefault="00C542E5" w:rsidP="00C542E5">
      <w:pPr>
        <w:pStyle w:val="Normlntextsmlouvy"/>
      </w:pPr>
    </w:p>
    <w:p w14:paraId="49ACA807" w14:textId="57C300B9" w:rsidR="00C542E5" w:rsidRDefault="00C542E5" w:rsidP="00C542E5">
      <w:pPr>
        <w:pStyle w:val="Normlntextsmlouvy"/>
        <w:contextualSpacing/>
      </w:pPr>
      <w:r>
        <w:t xml:space="preserve">Věcné břemeno se zřizuje úplatně. Finanční náhrada bude vypočtena dle </w:t>
      </w:r>
      <w:r w:rsidRPr="00E81D69">
        <w:t>“</w:t>
      </w:r>
      <w:r w:rsidRPr="00E81D69">
        <w:rPr>
          <w:i/>
        </w:rPr>
        <w:t>Zásad pro prodej, pronájem, výpůjčky a pro zřizování věcných břemen u pozemků ve vlastnictví města Litvínov</w:t>
      </w:r>
      <w:r w:rsidRPr="00E81D69">
        <w:t>“</w:t>
      </w:r>
      <w:r>
        <w:t>(dále jen „zásady“)</w:t>
      </w:r>
      <w:r w:rsidRPr="00E81D69">
        <w:t xml:space="preserve"> schválených usnesením zastupitelstva města Litvínov č.Z/751/22 z</w:t>
      </w:r>
      <w:r w:rsidR="00A73CD0">
        <w:t>e dne</w:t>
      </w:r>
      <w:r w:rsidRPr="00E81D69">
        <w:t> 25.4.2013</w:t>
      </w:r>
      <w:r>
        <w:t xml:space="preserve"> v souvislosti s geometrickým plánem pro vyznačení částí budoucího služebného pozemku dotčeného věcným břemenem. K uvedené finanční náhradě bude připočtena platná sazba DPH.</w:t>
      </w:r>
    </w:p>
    <w:p w14:paraId="7FB6EE9A" w14:textId="77777777" w:rsidR="00C542E5" w:rsidRPr="00912264" w:rsidRDefault="00C542E5" w:rsidP="00C542E5">
      <w:pPr>
        <w:pStyle w:val="Normlntextsmlouvy"/>
        <w:contextualSpacing/>
        <w:rPr>
          <w:noProof/>
        </w:rPr>
      </w:pPr>
      <w:r>
        <w:t>Úhrada nákladů spojených s uzavřením smlouvy o zřízení věcného břemene, kterou se strana oprávněná zavazuje zaplatit straně povinné, je stanovena dle „zásad“ na 1.000,- Kč + platná sazba DPH. Vzájemné dohodnuté úhrady dle čl.II budou stranou oprávněnou provedeny ve prospěch strany povinné na základě faktury vystavené stranou povinnou</w:t>
      </w:r>
      <w:r w:rsidRPr="00750779">
        <w:rPr>
          <w:noProof/>
        </w:rPr>
        <w:t xml:space="preserve"> a to se splatností do 30 dnů ode dne vystavení. Strana</w:t>
      </w:r>
      <w:r w:rsidRPr="00126209">
        <w:rPr>
          <w:noProof/>
        </w:rPr>
        <w:t xml:space="preserve"> povinná je oprávněna vystavit</w:t>
      </w:r>
      <w:r>
        <w:rPr>
          <w:noProof/>
        </w:rPr>
        <w:t xml:space="preserve"> a oprávněnému odeslat</w:t>
      </w:r>
      <w:r w:rsidRPr="00126209">
        <w:rPr>
          <w:noProof/>
        </w:rPr>
        <w:t xml:space="preserve"> fakturu až po obdržení </w:t>
      </w:r>
      <w:r>
        <w:rPr>
          <w:noProof/>
        </w:rPr>
        <w:t>vyrozumění o provedení</w:t>
      </w:r>
      <w:r w:rsidRPr="00126209">
        <w:rPr>
          <w:noProof/>
        </w:rPr>
        <w:t xml:space="preserve"> vkladu </w:t>
      </w:r>
      <w:r>
        <w:rPr>
          <w:noProof/>
        </w:rPr>
        <w:t xml:space="preserve">odpovídajícímu </w:t>
      </w:r>
      <w:r w:rsidRPr="00126209">
        <w:rPr>
          <w:noProof/>
        </w:rPr>
        <w:t xml:space="preserve"> věcnému břemeni dle Vla</w:t>
      </w:r>
      <w:r w:rsidRPr="00912264">
        <w:rPr>
          <w:noProof/>
        </w:rPr>
        <w:t xml:space="preserve">stní smlouvy do katastru nemovitostí. </w:t>
      </w:r>
    </w:p>
    <w:p w14:paraId="27EC96E3" w14:textId="77777777" w:rsidR="00C542E5" w:rsidRDefault="00C542E5" w:rsidP="00C542E5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3A654F91" w14:textId="6AAEDCF5" w:rsidR="00C542E5" w:rsidRDefault="00C542E5" w:rsidP="00C542E5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  <w:lang w:val="en-US"/>
        </w:rPr>
      </w:pPr>
      <w:r w:rsidRPr="002F5359">
        <w:rPr>
          <w:rFonts w:ascii="Arial" w:hAnsi="Arial" w:cs="Arial"/>
          <w:sz w:val="20"/>
          <w:szCs w:val="20"/>
        </w:rPr>
        <w:t>Pokud k datu uskutečnění zdanitelného plnění budou u budoucího povinného</w:t>
      </w:r>
      <w:r w:rsidRPr="002F5359">
        <w:rPr>
          <w:rFonts w:ascii="Arial" w:hAnsi="Arial" w:cs="Arial"/>
          <w:color w:val="1F497D"/>
          <w:sz w:val="20"/>
          <w:szCs w:val="20"/>
        </w:rPr>
        <w:t xml:space="preserve"> </w:t>
      </w:r>
      <w:r w:rsidRPr="002F5359">
        <w:rPr>
          <w:rFonts w:ascii="Arial" w:hAnsi="Arial" w:cs="Arial"/>
          <w:sz w:val="20"/>
          <w:szCs w:val="20"/>
        </w:rPr>
        <w:t>naplněny podmínky ust. § </w:t>
      </w:r>
      <w:r w:rsidRPr="00C14498">
        <w:rPr>
          <w:rFonts w:ascii="Arial" w:hAnsi="Arial" w:cs="Arial"/>
          <w:sz w:val="20"/>
          <w:szCs w:val="20"/>
        </w:rPr>
        <w:t xml:space="preserve">106a </w:t>
      </w:r>
      <w:r w:rsidR="00A73CD0" w:rsidRPr="00C14498">
        <w:rPr>
          <w:rFonts w:ascii="Arial" w:hAnsi="Arial" w:cs="Arial"/>
          <w:sz w:val="20"/>
          <w:szCs w:val="20"/>
        </w:rPr>
        <w:t>zákona č. 235/2004 Sb., o dani z přidané hodnoty v platném znění (dále také jako</w:t>
      </w:r>
      <w:r w:rsidR="00A73CD0">
        <w:rPr>
          <w:rFonts w:ascii="Arial" w:hAnsi="Arial" w:cs="Arial"/>
          <w:sz w:val="20"/>
          <w:szCs w:val="20"/>
        </w:rPr>
        <w:t xml:space="preserve"> </w:t>
      </w:r>
      <w:r w:rsidRPr="002F5359">
        <w:rPr>
          <w:rFonts w:ascii="Arial" w:hAnsi="Arial" w:cs="Arial"/>
          <w:sz w:val="20"/>
          <w:szCs w:val="20"/>
        </w:rPr>
        <w:t>ZoDPH (nespolehlivý plátce) nebo bude na daňovém dokladu - smlouvě uveden bankovní účet nezveřejněný zákonným způsobem ve smyslu ust. § 109 odst. 2 písm. c) ZoDPH (nezveřejněný účet), je budoucí oprávněný</w:t>
      </w:r>
      <w:r w:rsidRPr="002F5359">
        <w:rPr>
          <w:rFonts w:ascii="Arial" w:hAnsi="Arial" w:cs="Arial"/>
          <w:i/>
          <w:iCs/>
          <w:color w:val="1F497D"/>
          <w:sz w:val="20"/>
          <w:szCs w:val="20"/>
        </w:rPr>
        <w:t xml:space="preserve"> </w:t>
      </w:r>
      <w:r w:rsidRPr="002F5359">
        <w:rPr>
          <w:rFonts w:ascii="Arial" w:hAnsi="Arial" w:cs="Arial"/>
          <w:color w:val="1F497D"/>
          <w:sz w:val="20"/>
          <w:szCs w:val="20"/>
        </w:rPr>
        <w:t> </w:t>
      </w:r>
      <w:r w:rsidRPr="002F5359">
        <w:rPr>
          <w:rFonts w:ascii="Arial" w:hAnsi="Arial" w:cs="Arial"/>
          <w:sz w:val="20"/>
          <w:szCs w:val="20"/>
        </w:rPr>
        <w:t>oprávněn postupovat dle ust. § 109a ZoDPH, tj. zvláštním způsobem zajištění daně. V takovém případě je budoucí oprávněný oprávněn uhradit část finančního závazku ve výši vypočtené daně z při</w:t>
      </w:r>
      <w:r w:rsidRPr="002F5359">
        <w:rPr>
          <w:rFonts w:ascii="Arial" w:hAnsi="Arial" w:cs="Arial"/>
          <w:color w:val="1F497D"/>
          <w:sz w:val="20"/>
          <w:szCs w:val="20"/>
        </w:rPr>
        <w:t>d</w:t>
      </w:r>
      <w:r w:rsidRPr="002F5359">
        <w:rPr>
          <w:rFonts w:ascii="Arial" w:hAnsi="Arial" w:cs="Arial"/>
          <w:sz w:val="20"/>
          <w:szCs w:val="20"/>
        </w:rPr>
        <w:t>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5BAA43FE" w14:textId="77777777" w:rsidR="00C542E5" w:rsidRPr="003F55AF" w:rsidRDefault="00C542E5" w:rsidP="00C542E5">
      <w:pPr>
        <w:pStyle w:val="Normlntextsmlouvy"/>
      </w:pPr>
      <w:r w:rsidRPr="003F55AF">
        <w:t>Budoucí oprávněný se zavazuje věcné břemeno přijmout a budoucí povinný se zavazuje výkon těchto práv strpět.</w:t>
      </w:r>
    </w:p>
    <w:p w14:paraId="762D479F" w14:textId="77777777" w:rsidR="00C542E5" w:rsidRDefault="00C542E5" w:rsidP="00C542E5">
      <w:pPr>
        <w:pStyle w:val="Nadpis4"/>
        <w:rPr>
          <w:rFonts w:cs="Arial"/>
          <w:b w:val="0"/>
          <w:szCs w:val="22"/>
        </w:rPr>
      </w:pPr>
    </w:p>
    <w:p w14:paraId="2DFF4AB4" w14:textId="77777777" w:rsidR="00C542E5" w:rsidRPr="003F55AF" w:rsidRDefault="00C542E5" w:rsidP="00C542E5">
      <w:pPr>
        <w:pStyle w:val="Nadpis4"/>
        <w:rPr>
          <w:rFonts w:cs="Arial"/>
          <w:b w:val="0"/>
          <w:szCs w:val="22"/>
        </w:rPr>
      </w:pPr>
      <w:r w:rsidRPr="003F55AF">
        <w:rPr>
          <w:rFonts w:cs="Arial"/>
          <w:b w:val="0"/>
          <w:szCs w:val="22"/>
        </w:rPr>
        <w:t>III.</w:t>
      </w:r>
    </w:p>
    <w:p w14:paraId="35E1B6A7" w14:textId="77777777" w:rsidR="00C542E5" w:rsidRPr="001137E7" w:rsidRDefault="00C542E5" w:rsidP="00C542E5">
      <w:pPr>
        <w:pStyle w:val="Normlntextsmlouvy"/>
      </w:pPr>
      <w:r w:rsidRPr="001137E7">
        <w:t xml:space="preserve">Náklady spojené s běžným udržováním budoucího služebného pozemku ponese budoucí povinný. </w:t>
      </w:r>
    </w:p>
    <w:p w14:paraId="2F2907A6" w14:textId="77777777" w:rsidR="00C542E5" w:rsidRPr="001137E7" w:rsidRDefault="00C542E5" w:rsidP="00C542E5">
      <w:pPr>
        <w:jc w:val="both"/>
        <w:rPr>
          <w:rFonts w:ascii="Arial" w:hAnsi="Arial" w:cs="Arial"/>
        </w:rPr>
      </w:pPr>
      <w:r w:rsidRPr="001137E7">
        <w:rPr>
          <w:rFonts w:ascii="Arial" w:hAnsi="Arial" w:cs="Arial"/>
        </w:rPr>
        <w:t>Náklady spojené se zřízením věcného břemene ponese budoucí oprávněný.</w:t>
      </w:r>
    </w:p>
    <w:p w14:paraId="5417431F" w14:textId="77777777" w:rsidR="00C542E5" w:rsidRPr="001137E7" w:rsidRDefault="00C542E5" w:rsidP="00C542E5">
      <w:pPr>
        <w:jc w:val="both"/>
        <w:rPr>
          <w:rFonts w:ascii="Arial" w:hAnsi="Arial" w:cs="Arial"/>
          <w:b/>
        </w:rPr>
      </w:pPr>
      <w:r w:rsidRPr="001137E7">
        <w:rPr>
          <w:rFonts w:ascii="Arial" w:hAnsi="Arial" w:cs="Arial"/>
        </w:rPr>
        <w:t>V případě zásahu do služebného pozemku, je povinností budoucího oprávněného, uvést pozemek do původního stavu na vlastní náklady. V opačném případě uvede pozemek do vyhovujícího stavu budoucí povinný na náklady budoucího oprávněného.</w:t>
      </w:r>
    </w:p>
    <w:p w14:paraId="1B76D19C" w14:textId="77777777" w:rsidR="00C542E5" w:rsidRPr="003F55AF" w:rsidRDefault="00C542E5" w:rsidP="00C542E5">
      <w:pPr>
        <w:pStyle w:val="Nadpis4"/>
        <w:rPr>
          <w:rFonts w:cs="Arial"/>
          <w:b w:val="0"/>
          <w:szCs w:val="22"/>
        </w:rPr>
      </w:pPr>
      <w:r w:rsidRPr="003F55AF">
        <w:rPr>
          <w:rFonts w:cs="Arial"/>
          <w:b w:val="0"/>
          <w:szCs w:val="22"/>
        </w:rPr>
        <w:lastRenderedPageBreak/>
        <w:t>IV.</w:t>
      </w:r>
    </w:p>
    <w:p w14:paraId="3853FCE1" w14:textId="77777777" w:rsidR="00C542E5" w:rsidRPr="003F55AF" w:rsidRDefault="00C542E5" w:rsidP="00C542E5">
      <w:pPr>
        <w:pStyle w:val="Normlntextsmlouvy"/>
      </w:pPr>
      <w:r w:rsidRPr="003F55AF">
        <w:t>Budoucí povinný se pro případ převodu vlastnického práva k budoucímu služebnému pozemku na třetí osobu před uzavřením smlouvy o VB zavazuje postoupit za souhlasu budoucího oprávněného na tuto třetí osobu současně i tuto smlouvu, případně zajistit uzavření nové smlouvy o budoucí smlouvě o zřízení věcného břemene za shodných podmínek mezi budoucím oprávněným a touto třetí osobou. V opačném případě vzniká budoucímu oprávněnému nárok na náhradu škody způsobené porušením povinností z této smlouvy vyplývajících.</w:t>
      </w:r>
    </w:p>
    <w:p w14:paraId="091907DA" w14:textId="77777777" w:rsidR="00C542E5" w:rsidRPr="003F55AF" w:rsidRDefault="00C542E5" w:rsidP="00C542E5">
      <w:pPr>
        <w:pStyle w:val="Normlntextsmlouvy"/>
      </w:pPr>
      <w:r w:rsidRPr="003F55AF">
        <w:t>Budoucí oprávněný se pro případ převodu vlastnického práva k plynárenskému zařízení, případně jeho části, na třetí osobu před uzavřením smlouvy o VB zavazuje postoupit za souhlasu budoucího povinného na tuto třetí osobu současně i tuto smlouvu, případně zajistit uzavření nové smlouvy o budoucí smlouvě o zřízení věcného břemene za shodných podmínek mezi budoucím povinným a touto třetí osobou.</w:t>
      </w:r>
    </w:p>
    <w:p w14:paraId="20B05715" w14:textId="77777777" w:rsidR="005C13DA" w:rsidRDefault="005C13DA" w:rsidP="00C542E5">
      <w:pPr>
        <w:pStyle w:val="Nadpis4"/>
        <w:rPr>
          <w:rFonts w:cs="Arial"/>
          <w:b w:val="0"/>
          <w:szCs w:val="22"/>
        </w:rPr>
      </w:pPr>
    </w:p>
    <w:p w14:paraId="204EEDF2" w14:textId="77777777" w:rsidR="00C542E5" w:rsidRPr="003F55AF" w:rsidRDefault="00C542E5" w:rsidP="00C542E5">
      <w:pPr>
        <w:pStyle w:val="Nadpis4"/>
        <w:rPr>
          <w:rFonts w:cs="Arial"/>
          <w:b w:val="0"/>
          <w:szCs w:val="22"/>
        </w:rPr>
      </w:pPr>
      <w:r w:rsidRPr="003F55AF">
        <w:rPr>
          <w:rFonts w:cs="Arial"/>
          <w:b w:val="0"/>
          <w:szCs w:val="22"/>
        </w:rPr>
        <w:t>V.</w:t>
      </w:r>
    </w:p>
    <w:p w14:paraId="0F0B15CA" w14:textId="4D3DA457" w:rsidR="00C542E5" w:rsidRPr="003F55AF" w:rsidRDefault="00C542E5" w:rsidP="00C542E5">
      <w:pPr>
        <w:pStyle w:val="Normlntextsmlouvy"/>
      </w:pPr>
      <w:r>
        <w:t xml:space="preserve">Pokud byl budoucí povinný nebo uživatel nemovité věci v důsledku </w:t>
      </w:r>
      <w:r w:rsidRPr="003F55AF">
        <w:t>výkonu práv</w:t>
      </w:r>
      <w:r>
        <w:t xml:space="preserve"> budoucího oprávněného jako provozovatele</w:t>
      </w:r>
      <w:r w:rsidRPr="003F55AF">
        <w:t xml:space="preserve"> distribuční soustavy</w:t>
      </w:r>
      <w:r>
        <w:t xml:space="preserve"> omezen v souladu s touto smlouvou v obvyklém užívání nemovité</w:t>
      </w:r>
      <w:r w:rsidR="00A73CD0">
        <w:t xml:space="preserve"> věci</w:t>
      </w:r>
      <w:r>
        <w:t xml:space="preserve"> nebo mu vznikla újma na</w:t>
      </w:r>
      <w:r w:rsidRPr="003F55AF">
        <w:t xml:space="preserve"> majetk</w:t>
      </w:r>
      <w:r>
        <w:t>u</w:t>
      </w:r>
      <w:r w:rsidRPr="003F55AF">
        <w:t xml:space="preserve">, má právo na přiměřenou jednorázovou náhradu Právo na náhradu </w:t>
      </w:r>
      <w:r>
        <w:t>lze</w:t>
      </w:r>
      <w:r w:rsidRPr="003F55AF">
        <w:t xml:space="preserve"> uplatnit u provozovatele distribuční soustavy do </w:t>
      </w:r>
      <w:r>
        <w:t>2 let</w:t>
      </w:r>
      <w:r w:rsidRPr="003F55AF">
        <w:t xml:space="preserve"> ode dne, </w:t>
      </w:r>
      <w:r>
        <w:t>kdy k omezení nebo újmě došlo, jinak právo zaniká</w:t>
      </w:r>
      <w:r w:rsidRPr="003F55AF">
        <w:t xml:space="preserve">. </w:t>
      </w:r>
    </w:p>
    <w:p w14:paraId="374F94B0" w14:textId="77777777" w:rsidR="00C542E5" w:rsidRPr="003F55AF" w:rsidRDefault="00C542E5" w:rsidP="00C542E5">
      <w:pPr>
        <w:pStyle w:val="Normlntextsmlouvy"/>
      </w:pPr>
      <w:r w:rsidRPr="003F55AF">
        <w:t>Provozovatel distribuční soustavy je povinen co nejvíce šetřit práv vlastníků dotčených nemovitostí a vstup na jejich nemovitost jim oznámit. Po skončení prací je povinen uvést nemovitost do předchozího stavu, nebo není-li to možné s ohledem na povahu provedených prací, do stavu odpovídajícímu předchozímu účelu či užívání dotčené nemovitosti a oznámit tuto skutečnost vlastníku nemovitosti. Po provedení odstranění nebo okleštění stromoví je povinen na svůj náklad provést likvidaci vzniklého klestu a zbytků po těžbě.</w:t>
      </w:r>
    </w:p>
    <w:p w14:paraId="62CA1E2C" w14:textId="77777777" w:rsidR="001B1ED7" w:rsidRDefault="001B1ED7" w:rsidP="00C542E5">
      <w:pPr>
        <w:pStyle w:val="Nadpis4"/>
        <w:rPr>
          <w:rFonts w:cs="Arial"/>
          <w:b w:val="0"/>
          <w:szCs w:val="22"/>
        </w:rPr>
      </w:pPr>
    </w:p>
    <w:p w14:paraId="622B662A" w14:textId="77777777" w:rsidR="001B1ED7" w:rsidRDefault="001B1ED7" w:rsidP="001B1ED7">
      <w:pPr>
        <w:pStyle w:val="Nadpis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VI.</w:t>
      </w:r>
    </w:p>
    <w:p w14:paraId="35FB34D2" w14:textId="77777777" w:rsidR="001B1ED7" w:rsidRPr="00F16FE8" w:rsidRDefault="001B1ED7" w:rsidP="001B1ED7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</w:rPr>
      </w:pPr>
      <w:r w:rsidRPr="00F16FE8">
        <w:rPr>
          <w:rFonts w:ascii="Arial" w:hAnsi="Arial" w:cs="Arial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F16FE8">
        <w:rPr>
          <w:rFonts w:ascii="Arial" w:hAnsi="Arial" w:cs="Arial"/>
          <w:b/>
        </w:rPr>
        <w:t>zákon o registru smluv</w:t>
      </w:r>
      <w:r w:rsidRPr="00F16FE8">
        <w:rPr>
          <w:rFonts w:ascii="Arial" w:hAnsi="Arial" w:cs="Arial"/>
        </w:rPr>
        <w:t>“).</w:t>
      </w:r>
    </w:p>
    <w:p w14:paraId="012634C9" w14:textId="3132CEB3" w:rsidR="001B1ED7" w:rsidRPr="00F16FE8" w:rsidRDefault="001B1ED7" w:rsidP="001B1ED7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</w:rPr>
      </w:pPr>
      <w:r w:rsidRPr="00F16FE8">
        <w:rPr>
          <w:rFonts w:ascii="Arial" w:hAnsi="Arial" w:cs="Arial"/>
        </w:rPr>
        <w:t xml:space="preserve">Smlouvu bez zbytečného odkladu, nejpozději do 10 dnů od uzavření smlouvy, uveřejní </w:t>
      </w:r>
      <w:r>
        <w:rPr>
          <w:rFonts w:ascii="Arial" w:hAnsi="Arial" w:cs="Arial"/>
        </w:rPr>
        <w:t xml:space="preserve">budoucí </w:t>
      </w:r>
      <w:r w:rsidRPr="00F16FE8">
        <w:rPr>
          <w:rFonts w:ascii="Arial" w:hAnsi="Arial" w:cs="Arial"/>
        </w:rPr>
        <w:t xml:space="preserve">povinný. Při uveřejnění je </w:t>
      </w:r>
      <w:r>
        <w:rPr>
          <w:rFonts w:ascii="Arial" w:hAnsi="Arial" w:cs="Arial"/>
        </w:rPr>
        <w:t xml:space="preserve">budoucí </w:t>
      </w:r>
      <w:r w:rsidRPr="00F16FE8">
        <w:rPr>
          <w:rFonts w:ascii="Arial" w:hAnsi="Arial" w:cs="Arial"/>
        </w:rPr>
        <w:t xml:space="preserve">povinný </w:t>
      </w:r>
      <w:r>
        <w:rPr>
          <w:rFonts w:ascii="Arial" w:hAnsi="Arial" w:cs="Arial"/>
        </w:rPr>
        <w:t xml:space="preserve">povinen </w:t>
      </w:r>
      <w:r w:rsidRPr="00F16FE8">
        <w:rPr>
          <w:rFonts w:ascii="Arial" w:hAnsi="Arial" w:cs="Arial"/>
        </w:rPr>
        <w:t xml:space="preserve">postupovat tak, aby nebyla ohrožena doba zahájení plnění ze smlouvy, pokud si ji smluvní strany sjednaly, případně vyplývá-li z účelu smlouvy. Pro případ potřeby opravy uveřejněné smlouvy nebo dat smlouvy je smluvními stranami ujednáno, že tyto opravy bude povinna uveřejnit strana </w:t>
      </w:r>
      <w:r>
        <w:rPr>
          <w:rFonts w:ascii="Arial" w:hAnsi="Arial" w:cs="Arial"/>
        </w:rPr>
        <w:t xml:space="preserve">budoucí </w:t>
      </w:r>
      <w:r w:rsidRPr="00F16FE8">
        <w:rPr>
          <w:rFonts w:ascii="Arial" w:hAnsi="Arial" w:cs="Arial"/>
        </w:rPr>
        <w:t>povinná. Pro uveřejnění opravy platí ustanovení tohoto článku o uveřejnění obdobně.</w:t>
      </w:r>
    </w:p>
    <w:p w14:paraId="31C3A3FD" w14:textId="77777777" w:rsidR="001B1ED7" w:rsidRPr="00344F2C" w:rsidRDefault="001B1ED7" w:rsidP="001B1ED7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Budoucí o</w:t>
      </w:r>
      <w:r w:rsidRPr="00344F2C">
        <w:rPr>
          <w:rFonts w:ascii="Arial" w:hAnsi="Arial" w:cs="Arial"/>
        </w:rPr>
        <w:t xml:space="preserve">právněný i </w:t>
      </w:r>
      <w:r>
        <w:rPr>
          <w:rFonts w:ascii="Arial" w:hAnsi="Arial" w:cs="Arial"/>
        </w:rPr>
        <w:t xml:space="preserve">budoucí </w:t>
      </w:r>
      <w:r w:rsidRPr="00344F2C">
        <w:rPr>
          <w:rFonts w:ascii="Arial" w:hAnsi="Arial" w:cs="Arial"/>
        </w:rPr>
        <w:t xml:space="preserve">povinný prohlašují, že tato smlouva neobsahuje obchodní tajemství, jež by nebylo možné uveřejnit. </w:t>
      </w:r>
    </w:p>
    <w:p w14:paraId="3976F7C1" w14:textId="77777777" w:rsidR="001B1ED7" w:rsidRDefault="001B1ED7" w:rsidP="001B1ED7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Budoucí p</w:t>
      </w:r>
      <w:r w:rsidRPr="00344F2C">
        <w:rPr>
          <w:rFonts w:ascii="Arial" w:hAnsi="Arial" w:cs="Arial"/>
        </w:rPr>
        <w:t xml:space="preserve">ovinný zajistí uveřejnění této smlouvy podle platných právních předpisů. </w:t>
      </w:r>
      <w:r>
        <w:rPr>
          <w:rFonts w:ascii="Arial" w:hAnsi="Arial" w:cs="Arial"/>
        </w:rPr>
        <w:t>Budoucí p</w:t>
      </w:r>
      <w:r w:rsidRPr="00344F2C">
        <w:rPr>
          <w:rFonts w:ascii="Arial" w:hAnsi="Arial" w:cs="Arial"/>
        </w:rPr>
        <w:t xml:space="preserve">ovinný zajistí znečitelnění podpisů osob zastupujících smluvní strany. Úplnou finální verzi k uveřejnění připraví pro povinného </w:t>
      </w:r>
      <w:r>
        <w:rPr>
          <w:rFonts w:ascii="Arial" w:hAnsi="Arial" w:cs="Arial"/>
        </w:rPr>
        <w:t xml:space="preserve">budoucí </w:t>
      </w:r>
      <w:r w:rsidRPr="00344F2C">
        <w:rPr>
          <w:rFonts w:ascii="Arial" w:hAnsi="Arial" w:cs="Arial"/>
        </w:rPr>
        <w:t>oprávněný</w:t>
      </w:r>
      <w:r w:rsidRPr="00B1416F">
        <w:rPr>
          <w:rFonts w:ascii="Arial" w:hAnsi="Arial" w:cs="Arial"/>
          <w:color w:val="FF0000"/>
        </w:rPr>
        <w:t xml:space="preserve">. </w:t>
      </w:r>
    </w:p>
    <w:p w14:paraId="240B7A19" w14:textId="3BC04790" w:rsidR="001B1ED7" w:rsidRPr="00F16FE8" w:rsidRDefault="001B1ED7" w:rsidP="001B1ED7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</w:rPr>
      </w:pPr>
      <w:r w:rsidRPr="00F16FE8">
        <w:rPr>
          <w:rFonts w:ascii="Arial" w:hAnsi="Arial" w:cs="Arial"/>
        </w:rPr>
        <w:t xml:space="preserve">Tato smlouva nabývá </w:t>
      </w:r>
      <w:r w:rsidR="00A73CD0" w:rsidRPr="00D57743">
        <w:rPr>
          <w:rFonts w:ascii="Arial" w:hAnsi="Arial" w:cs="Arial"/>
        </w:rPr>
        <w:t>platnosti dnem podpisu smluvními stranami a</w:t>
      </w:r>
      <w:r w:rsidR="00A73CD0">
        <w:rPr>
          <w:rFonts w:ascii="Arial" w:hAnsi="Arial" w:cs="Arial"/>
        </w:rPr>
        <w:t xml:space="preserve"> </w:t>
      </w:r>
      <w:r w:rsidRPr="00F16FE8">
        <w:rPr>
          <w:rFonts w:ascii="Arial" w:hAnsi="Arial" w:cs="Arial"/>
        </w:rPr>
        <w:t xml:space="preserve">účinnosti dnem uveřejnění v registru smluv v souladu s § 6 odst. 1 zákona o registru smluv, není-li smluvními stranami sjednáno datum pozdější. </w:t>
      </w:r>
    </w:p>
    <w:p w14:paraId="6757DE1B" w14:textId="77777777" w:rsidR="001B1ED7" w:rsidRDefault="001B1ED7" w:rsidP="001B1ED7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</w:rPr>
      </w:pPr>
      <w:r w:rsidRPr="00F16FE8">
        <w:rPr>
          <w:rFonts w:ascii="Arial" w:hAnsi="Arial" w:cs="Arial"/>
        </w:rPr>
        <w:t>Smluvní strany považují ve vztahu k registru smluv práva a povinnosti upravené v tomto článku za postup odpovídající péči řádného hospodáře. Strany se zavazují informovat se vzájemně bez zbytečného odkladu pro případ nesplnění jakékoliv povinnosti v tomto článku sjednané.</w:t>
      </w:r>
    </w:p>
    <w:p w14:paraId="100C3BAC" w14:textId="77777777" w:rsidR="00A73CD0" w:rsidRPr="00A73CD0" w:rsidRDefault="00A73CD0" w:rsidP="00A73CD0">
      <w:pPr>
        <w:pStyle w:val="Odstavecseseznamem"/>
        <w:numPr>
          <w:ilvl w:val="0"/>
          <w:numId w:val="5"/>
        </w:numPr>
        <w:ind w:left="360"/>
        <w:contextualSpacing w:val="0"/>
        <w:jc w:val="both"/>
        <w:rPr>
          <w:rFonts w:ascii="Arial" w:hAnsi="Arial" w:cs="Arial"/>
        </w:rPr>
      </w:pPr>
      <w:r w:rsidRPr="00A73CD0">
        <w:rPr>
          <w:rFonts w:ascii="Arial" w:hAnsi="Arial" w:cs="Arial"/>
        </w:rPr>
        <w:t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Smluvní strany prohlašují, že skutečnosti uvedené v této Smlouvě nepovažují za obchodní tajemství a udělují svolení k jejich zpřístupnění ve smyslu zákona č. 106/1999 Sb., o svobodném přístupu k informacím.</w:t>
      </w:r>
    </w:p>
    <w:p w14:paraId="5A8642D1" w14:textId="77777777" w:rsidR="00A73CD0" w:rsidRDefault="00A73CD0" w:rsidP="00A73CD0">
      <w:pPr>
        <w:pStyle w:val="Odstavecseseznamem"/>
        <w:ind w:left="360"/>
        <w:contextualSpacing w:val="0"/>
        <w:jc w:val="both"/>
        <w:rPr>
          <w:rFonts w:ascii="Arial" w:hAnsi="Arial" w:cs="Arial"/>
        </w:rPr>
      </w:pPr>
    </w:p>
    <w:p w14:paraId="74F1249D" w14:textId="77777777" w:rsidR="00DA2F2E" w:rsidRDefault="00DA2F2E" w:rsidP="00A73CD0">
      <w:pPr>
        <w:pStyle w:val="Odstavecseseznamem"/>
        <w:ind w:left="360"/>
        <w:contextualSpacing w:val="0"/>
        <w:jc w:val="both"/>
        <w:rPr>
          <w:rFonts w:ascii="Arial" w:hAnsi="Arial" w:cs="Arial"/>
        </w:rPr>
      </w:pPr>
    </w:p>
    <w:p w14:paraId="62169F0F" w14:textId="77777777" w:rsidR="00DA2F2E" w:rsidRDefault="00DA2F2E" w:rsidP="00A73CD0">
      <w:pPr>
        <w:pStyle w:val="Odstavecseseznamem"/>
        <w:ind w:left="360"/>
        <w:contextualSpacing w:val="0"/>
        <w:jc w:val="both"/>
        <w:rPr>
          <w:rFonts w:ascii="Arial" w:hAnsi="Arial" w:cs="Arial"/>
        </w:rPr>
      </w:pPr>
    </w:p>
    <w:p w14:paraId="18E0DE64" w14:textId="77777777" w:rsidR="00DA2F2E" w:rsidRDefault="00DA2F2E" w:rsidP="00A73CD0">
      <w:pPr>
        <w:pStyle w:val="Odstavecseseznamem"/>
        <w:ind w:left="360"/>
        <w:contextualSpacing w:val="0"/>
        <w:jc w:val="both"/>
        <w:rPr>
          <w:rFonts w:ascii="Arial" w:hAnsi="Arial" w:cs="Arial"/>
        </w:rPr>
      </w:pPr>
    </w:p>
    <w:p w14:paraId="05C050F0" w14:textId="77777777" w:rsidR="00DA2F2E" w:rsidRPr="00F16FE8" w:rsidRDefault="00DA2F2E" w:rsidP="00A73CD0">
      <w:pPr>
        <w:pStyle w:val="Odstavecseseznamem"/>
        <w:ind w:left="360"/>
        <w:contextualSpacing w:val="0"/>
        <w:jc w:val="both"/>
        <w:rPr>
          <w:rFonts w:ascii="Arial" w:hAnsi="Arial" w:cs="Arial"/>
        </w:rPr>
      </w:pPr>
    </w:p>
    <w:p w14:paraId="0968D1C7" w14:textId="77777777" w:rsidR="001B1ED7" w:rsidRDefault="001B1ED7" w:rsidP="00C542E5">
      <w:pPr>
        <w:pStyle w:val="Nadpis4"/>
        <w:rPr>
          <w:rFonts w:cs="Arial"/>
          <w:b w:val="0"/>
          <w:szCs w:val="22"/>
        </w:rPr>
      </w:pPr>
    </w:p>
    <w:p w14:paraId="03080785" w14:textId="15446B35" w:rsidR="00C542E5" w:rsidRPr="00AA1036" w:rsidRDefault="00C542E5" w:rsidP="00AA1036">
      <w:pPr>
        <w:pStyle w:val="Bezmezer"/>
        <w:jc w:val="center"/>
        <w:rPr>
          <w:rFonts w:ascii="Times New Roman" w:hAnsi="Times New Roman"/>
          <w:b/>
        </w:rPr>
      </w:pPr>
      <w:r w:rsidRPr="00AA1036">
        <w:rPr>
          <w:rFonts w:ascii="Times New Roman" w:hAnsi="Times New Roman"/>
        </w:rPr>
        <w:t>VI</w:t>
      </w:r>
      <w:r w:rsidR="001B1ED7" w:rsidRPr="00AA1036">
        <w:rPr>
          <w:rFonts w:ascii="Times New Roman" w:hAnsi="Times New Roman"/>
        </w:rPr>
        <w:t>I</w:t>
      </w:r>
      <w:r w:rsidRPr="00AA1036">
        <w:rPr>
          <w:rFonts w:ascii="Times New Roman" w:hAnsi="Times New Roman"/>
        </w:rPr>
        <w:t>.</w:t>
      </w:r>
    </w:p>
    <w:p w14:paraId="66153C27" w14:textId="77777777" w:rsidR="00C542E5" w:rsidRPr="00AA1036" w:rsidRDefault="00C542E5" w:rsidP="00AA1036">
      <w:pPr>
        <w:pStyle w:val="Bezmezer"/>
        <w:rPr>
          <w:rFonts w:ascii="Arial" w:hAnsi="Arial" w:cs="Arial"/>
          <w:sz w:val="20"/>
          <w:szCs w:val="20"/>
        </w:rPr>
      </w:pPr>
      <w:r w:rsidRPr="00AA1036">
        <w:rPr>
          <w:rFonts w:ascii="Arial" w:hAnsi="Arial" w:cs="Arial"/>
          <w:sz w:val="20"/>
          <w:szCs w:val="20"/>
        </w:rPr>
        <w:t>Tato smlouva se vyhotovuje ve 4 stejnopisech, z nichž 2 obdrží budoucí oprávněný a 2 budoucí povinný.</w:t>
      </w:r>
    </w:p>
    <w:p w14:paraId="52064954" w14:textId="77777777" w:rsidR="00C542E5" w:rsidRPr="005C13DA" w:rsidRDefault="00C542E5" w:rsidP="00AA1036">
      <w:pPr>
        <w:tabs>
          <w:tab w:val="left" w:pos="284"/>
        </w:tabs>
        <w:jc w:val="both"/>
        <w:rPr>
          <w:rFonts w:ascii="Arial" w:hAnsi="Arial" w:cs="Arial"/>
        </w:rPr>
      </w:pPr>
    </w:p>
    <w:p w14:paraId="3F44ADC5" w14:textId="5C80BFE0" w:rsidR="00C542E5" w:rsidRPr="005C13DA" w:rsidRDefault="00C542E5" w:rsidP="00AA1036">
      <w:pPr>
        <w:tabs>
          <w:tab w:val="left" w:pos="284"/>
        </w:tabs>
        <w:jc w:val="both"/>
        <w:rPr>
          <w:rFonts w:ascii="Arial" w:hAnsi="Arial" w:cs="Arial"/>
        </w:rPr>
      </w:pPr>
      <w:r w:rsidRPr="005C13DA">
        <w:rPr>
          <w:rFonts w:ascii="Arial" w:hAnsi="Arial" w:cs="Arial"/>
        </w:rPr>
        <w:t>Smluvní strany po bedlivém seznámení se zněním této smlouvy prohlašují, že je jim znám její smysl a účel, že tato odpovídá projevu jejich vůle a že k ní přistupují svobodně a vážně, nikoliv v tísni a za nápadně nevýhodných podmínek, aniž by považovaly byť i jediné její ujednání za nesrozumitelné. Na důkaz toho ji podepisují.</w:t>
      </w:r>
    </w:p>
    <w:p w14:paraId="48CB308A" w14:textId="4218FAA4" w:rsidR="00C542E5" w:rsidRPr="005C13DA" w:rsidRDefault="00C542E5" w:rsidP="00AA1036">
      <w:pPr>
        <w:tabs>
          <w:tab w:val="left" w:pos="284"/>
        </w:tabs>
        <w:jc w:val="both"/>
        <w:rPr>
          <w:rFonts w:ascii="Arial" w:hAnsi="Arial" w:cs="Arial"/>
        </w:rPr>
      </w:pPr>
      <w:r w:rsidRPr="005C13DA">
        <w:rPr>
          <w:rFonts w:ascii="Arial" w:hAnsi="Arial" w:cs="Arial"/>
        </w:rPr>
        <w:t>Tato smlouva se řídí právním řádem České republiky, a to zejména zák.č.89/2012 Sb., obč.zákon</w:t>
      </w:r>
      <w:r w:rsidR="00A73CD0">
        <w:rPr>
          <w:rFonts w:ascii="Arial" w:hAnsi="Arial" w:cs="Arial"/>
        </w:rPr>
        <w:t>ík</w:t>
      </w:r>
      <w:r w:rsidRPr="005C13DA">
        <w:rPr>
          <w:rFonts w:ascii="Arial" w:hAnsi="Arial" w:cs="Arial"/>
        </w:rPr>
        <w:t xml:space="preserve"> v platném znění.</w:t>
      </w:r>
    </w:p>
    <w:p w14:paraId="3611ED09" w14:textId="77777777" w:rsidR="00C542E5" w:rsidRPr="005C13DA" w:rsidRDefault="00C542E5" w:rsidP="00C542E5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68BF3002" w14:textId="4F6E3710" w:rsidR="00C542E5" w:rsidRPr="005C13DA" w:rsidRDefault="00C542E5" w:rsidP="00C542E5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5C13DA">
        <w:rPr>
          <w:rFonts w:ascii="Arial" w:hAnsi="Arial" w:cs="Arial"/>
        </w:rPr>
        <w:t>Uzavření této smlouvy bylo schváleno usnesením Rady města Litvínova č. R/</w:t>
      </w:r>
      <w:r w:rsidR="008B3A8A">
        <w:rPr>
          <w:rFonts w:ascii="Arial" w:hAnsi="Arial" w:cs="Arial"/>
        </w:rPr>
        <w:t>2520/95</w:t>
      </w:r>
      <w:r w:rsidRPr="005C13DA">
        <w:rPr>
          <w:rFonts w:ascii="Arial" w:hAnsi="Arial" w:cs="Arial"/>
        </w:rPr>
        <w:t xml:space="preserve"> ze dne </w:t>
      </w:r>
      <w:r w:rsidR="008B3A8A">
        <w:rPr>
          <w:rFonts w:ascii="Arial" w:hAnsi="Arial" w:cs="Arial"/>
        </w:rPr>
        <w:t>23.5.2018.</w:t>
      </w:r>
    </w:p>
    <w:p w14:paraId="09A1B058" w14:textId="77777777" w:rsidR="00C542E5" w:rsidRDefault="00C542E5" w:rsidP="00C542E5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28097DEC" w14:textId="77777777" w:rsidR="005C13DA" w:rsidRDefault="005C13DA" w:rsidP="00C542E5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0F30908B" w14:textId="77777777" w:rsidR="005C13DA" w:rsidRPr="005C13DA" w:rsidRDefault="005C13DA" w:rsidP="00C542E5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73BCC13F" w14:textId="77777777" w:rsidR="005C13DA" w:rsidRPr="005C13DA" w:rsidRDefault="005C13DA" w:rsidP="005C13DA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2B4E7F7B" w14:textId="6AE02BB9" w:rsidR="005C13DA" w:rsidRPr="005C13DA" w:rsidRDefault="005C13DA" w:rsidP="005C13DA">
      <w:pPr>
        <w:tabs>
          <w:tab w:val="left" w:pos="284"/>
        </w:tabs>
        <w:ind w:left="284" w:hanging="284"/>
        <w:rPr>
          <w:rFonts w:ascii="Arial" w:hAnsi="Arial" w:cs="Arial"/>
          <w:iCs/>
        </w:rPr>
      </w:pPr>
      <w:r w:rsidRPr="005C13DA">
        <w:rPr>
          <w:rFonts w:ascii="Arial" w:hAnsi="Arial" w:cs="Arial"/>
        </w:rPr>
        <w:t xml:space="preserve">         V</w:t>
      </w:r>
      <w:r w:rsidRPr="005C13DA">
        <w:rPr>
          <w:rFonts w:ascii="Arial" w:hAnsi="Arial" w:cs="Arial"/>
        </w:rPr>
        <w:tab/>
        <w:t>Litvínově</w:t>
      </w:r>
      <w:r w:rsidR="00AA1036">
        <w:rPr>
          <w:rFonts w:ascii="Arial" w:hAnsi="Arial" w:cs="Arial"/>
        </w:rPr>
        <w:t xml:space="preserve"> </w:t>
      </w:r>
      <w:r w:rsidRPr="005C13DA">
        <w:rPr>
          <w:rFonts w:ascii="Arial" w:hAnsi="Arial" w:cs="Arial"/>
        </w:rPr>
        <w:t>dne</w:t>
      </w:r>
      <w:r w:rsidRPr="005C13DA">
        <w:rPr>
          <w:rFonts w:ascii="Arial" w:hAnsi="Arial" w:cs="Arial"/>
        </w:rPr>
        <w:tab/>
      </w:r>
      <w:r w:rsidRPr="005C13DA">
        <w:rPr>
          <w:rFonts w:ascii="Arial" w:hAnsi="Arial" w:cs="Arial"/>
        </w:rPr>
        <w:tab/>
      </w:r>
      <w:r w:rsidR="008B3A8A">
        <w:rPr>
          <w:rFonts w:ascii="Arial" w:hAnsi="Arial" w:cs="Arial"/>
        </w:rPr>
        <w:t xml:space="preserve">        </w:t>
      </w:r>
      <w:r w:rsidR="005D44C1">
        <w:rPr>
          <w:rFonts w:ascii="Arial" w:hAnsi="Arial" w:cs="Arial"/>
        </w:rPr>
        <w:tab/>
      </w:r>
      <w:r w:rsidR="005D44C1">
        <w:rPr>
          <w:rFonts w:ascii="Arial" w:hAnsi="Arial" w:cs="Arial"/>
        </w:rPr>
        <w:tab/>
      </w:r>
      <w:r w:rsidR="005D44C1">
        <w:rPr>
          <w:rFonts w:ascii="Arial" w:hAnsi="Arial" w:cs="Arial"/>
        </w:rPr>
        <w:tab/>
        <w:t xml:space="preserve">         </w:t>
      </w:r>
      <w:r w:rsidRPr="005C13DA">
        <w:rPr>
          <w:rFonts w:ascii="Arial" w:hAnsi="Arial" w:cs="Arial"/>
          <w:iCs/>
        </w:rPr>
        <w:t>V Plzni dne</w:t>
      </w:r>
      <w:r>
        <w:rPr>
          <w:rFonts w:ascii="Arial" w:hAnsi="Arial" w:cs="Arial"/>
          <w:iCs/>
        </w:rPr>
        <w:t xml:space="preserve">  </w:t>
      </w:r>
    </w:p>
    <w:p w14:paraId="7D7D533E" w14:textId="3ADA35A6" w:rsidR="005C13DA" w:rsidRPr="005C13DA" w:rsidRDefault="005C13DA" w:rsidP="005C13DA">
      <w:pPr>
        <w:tabs>
          <w:tab w:val="left" w:leader="dot" w:pos="3686"/>
          <w:tab w:val="left" w:pos="5529"/>
          <w:tab w:val="left" w:leader="dot" w:pos="9072"/>
        </w:tabs>
        <w:spacing w:before="720"/>
        <w:jc w:val="both"/>
        <w:rPr>
          <w:rFonts w:ascii="Arial" w:hAnsi="Arial" w:cs="Arial"/>
          <w:iCs/>
        </w:rPr>
      </w:pPr>
      <w:r w:rsidRPr="005C13DA">
        <w:rPr>
          <w:rFonts w:ascii="Arial" w:hAnsi="Arial" w:cs="Arial"/>
          <w:iCs/>
        </w:rPr>
        <w:tab/>
      </w:r>
      <w:r w:rsidR="005D44C1">
        <w:rPr>
          <w:rFonts w:ascii="Arial" w:hAnsi="Arial" w:cs="Arial"/>
          <w:iCs/>
        </w:rPr>
        <w:t xml:space="preserve">                              ………………….</w:t>
      </w:r>
      <w:r w:rsidRPr="005C13DA">
        <w:rPr>
          <w:rFonts w:ascii="Arial" w:hAnsi="Arial" w:cs="Arial"/>
          <w:iCs/>
        </w:rPr>
        <w:tab/>
      </w:r>
    </w:p>
    <w:p w14:paraId="14296889" w14:textId="6FA6AB9F" w:rsidR="001B1ED7" w:rsidRPr="001B1ED7" w:rsidRDefault="005C13DA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  <w:r w:rsidRPr="005C13DA">
        <w:rPr>
          <w:rFonts w:ascii="Arial" w:hAnsi="Arial" w:cs="Arial"/>
          <w:iCs/>
        </w:rPr>
        <w:tab/>
      </w:r>
      <w:r w:rsidR="00795168">
        <w:rPr>
          <w:rFonts w:ascii="Arial" w:hAnsi="Arial" w:cs="Arial"/>
          <w:iCs/>
        </w:rPr>
        <w:t>Mgr</w:t>
      </w:r>
      <w:r w:rsidRPr="005C13DA">
        <w:rPr>
          <w:rFonts w:ascii="Arial" w:hAnsi="Arial" w:cs="Arial"/>
        </w:rPr>
        <w:t>. Kamila Bláhová</w:t>
      </w:r>
      <w:r w:rsidR="008B3A8A">
        <w:rPr>
          <w:rFonts w:ascii="Arial" w:hAnsi="Arial" w:cs="Arial"/>
          <w:iCs/>
        </w:rPr>
        <w:t xml:space="preserve">                                                          </w:t>
      </w:r>
      <w:r w:rsidR="005D44C1">
        <w:rPr>
          <w:rFonts w:ascii="Arial" w:hAnsi="Arial" w:cs="Arial"/>
          <w:iCs/>
        </w:rPr>
        <w:t xml:space="preserve">        </w:t>
      </w:r>
      <w:r w:rsidR="001B1ED7" w:rsidRPr="001B1ED7">
        <w:rPr>
          <w:rFonts w:ascii="Arial" w:hAnsi="Arial" w:cs="Arial"/>
        </w:rPr>
        <w:t>Mgr. Pavlína Dušková</w:t>
      </w:r>
    </w:p>
    <w:p w14:paraId="66AAB1B9" w14:textId="49FE2E70" w:rsidR="001B1ED7" w:rsidRPr="001B1ED7" w:rsidRDefault="008B3A8A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starostka města                                            </w:t>
      </w:r>
      <w:r w:rsidR="005D44C1">
        <w:rPr>
          <w:rFonts w:ascii="Arial" w:hAnsi="Arial" w:cs="Arial"/>
        </w:rPr>
        <w:t xml:space="preserve">                              </w:t>
      </w:r>
      <w:r w:rsidR="001B1ED7" w:rsidRPr="001B1ED7">
        <w:rPr>
          <w:rFonts w:ascii="Arial" w:hAnsi="Arial" w:cs="Arial"/>
        </w:rPr>
        <w:t>vedoucí oddělení správy nemovitého</w:t>
      </w:r>
      <w:r>
        <w:rPr>
          <w:rFonts w:ascii="Arial" w:hAnsi="Arial" w:cs="Arial"/>
        </w:rPr>
        <w:t xml:space="preserve">                                                                 </w:t>
      </w:r>
      <w:r w:rsidR="005D44C1">
        <w:rPr>
          <w:rFonts w:ascii="Arial" w:hAnsi="Arial" w:cs="Arial"/>
        </w:rPr>
        <w:t xml:space="preserve">                     </w:t>
      </w:r>
      <w:r w:rsidR="005D44C1">
        <w:rPr>
          <w:rFonts w:ascii="Arial" w:hAnsi="Arial" w:cs="Arial"/>
        </w:rPr>
        <w:tab/>
        <w:t xml:space="preserve">                                                                                                   </w:t>
      </w:r>
      <w:r w:rsidR="001B1ED7" w:rsidRPr="001B1ED7">
        <w:rPr>
          <w:rFonts w:ascii="Arial" w:hAnsi="Arial" w:cs="Arial"/>
        </w:rPr>
        <w:t xml:space="preserve">majetku – Čechy západ </w:t>
      </w:r>
    </w:p>
    <w:p w14:paraId="3D7102AA" w14:textId="77777777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</w:p>
    <w:p w14:paraId="33800249" w14:textId="77777777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</w:p>
    <w:p w14:paraId="50E46BC8" w14:textId="77777777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</w:p>
    <w:p w14:paraId="6607B983" w14:textId="77777777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</w:p>
    <w:p w14:paraId="5164B8F8" w14:textId="08A80151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  <w:r w:rsidRPr="001B1ED7">
        <w:rPr>
          <w:rFonts w:ascii="Arial" w:hAnsi="Arial" w:cs="Arial"/>
        </w:rPr>
        <w:t xml:space="preserve">                                                                                                  </w:t>
      </w:r>
      <w:r w:rsidR="008B3A8A">
        <w:rPr>
          <w:rFonts w:ascii="Arial" w:hAnsi="Arial" w:cs="Arial"/>
        </w:rPr>
        <w:t xml:space="preserve"> </w:t>
      </w:r>
      <w:r w:rsidRPr="001B1ED7">
        <w:rPr>
          <w:rFonts w:ascii="Arial" w:hAnsi="Arial" w:cs="Arial"/>
        </w:rPr>
        <w:t xml:space="preserve"> …………………………………………</w:t>
      </w:r>
    </w:p>
    <w:p w14:paraId="2018EEE4" w14:textId="3047461C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  <w:r w:rsidRPr="001B1ED7">
        <w:rPr>
          <w:rFonts w:ascii="Arial" w:hAnsi="Arial" w:cs="Arial"/>
        </w:rPr>
        <w:t xml:space="preserve">                                                                                   </w:t>
      </w:r>
      <w:r w:rsidR="008B3A8A">
        <w:rPr>
          <w:rFonts w:ascii="Arial" w:hAnsi="Arial" w:cs="Arial"/>
        </w:rPr>
        <w:t xml:space="preserve">                 </w:t>
      </w:r>
      <w:r w:rsidRPr="001B1ED7">
        <w:rPr>
          <w:rFonts w:ascii="Arial" w:hAnsi="Arial" w:cs="Arial"/>
        </w:rPr>
        <w:t>Martina Wiedermannová</w:t>
      </w:r>
    </w:p>
    <w:p w14:paraId="779170C6" w14:textId="1CA82F57" w:rsidR="001B1ED7" w:rsidRPr="001B1ED7" w:rsidRDefault="001B1ED7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  <w:r w:rsidRPr="001B1ED7">
        <w:rPr>
          <w:rFonts w:ascii="Arial" w:hAnsi="Arial" w:cs="Arial"/>
        </w:rPr>
        <w:t xml:space="preserve">                                                                                                    technik správy nemovitého majetku</w:t>
      </w:r>
    </w:p>
    <w:p w14:paraId="21A054DE" w14:textId="77777777" w:rsidR="001B1ED7" w:rsidRPr="003F55AF" w:rsidRDefault="001B1ED7" w:rsidP="001B1ED7">
      <w:pPr>
        <w:tabs>
          <w:tab w:val="center" w:pos="1843"/>
          <w:tab w:val="center" w:pos="7371"/>
        </w:tabs>
        <w:rPr>
          <w:rFonts w:cs="Arial"/>
          <w:iCs/>
        </w:rPr>
      </w:pPr>
    </w:p>
    <w:p w14:paraId="1EE482B8" w14:textId="77777777" w:rsidR="001B1ED7" w:rsidRDefault="001B1ED7" w:rsidP="001B1ED7">
      <w:pPr>
        <w:pStyle w:val="Textvtabulce"/>
        <w:jc w:val="both"/>
        <w:rPr>
          <w:rFonts w:cs="Arial"/>
          <w:sz w:val="20"/>
          <w:szCs w:val="20"/>
        </w:rPr>
      </w:pPr>
    </w:p>
    <w:p w14:paraId="25AEDAC8" w14:textId="7FF9F84C" w:rsidR="005C13DA" w:rsidRPr="005C13DA" w:rsidRDefault="005C13DA" w:rsidP="001B1ED7">
      <w:pPr>
        <w:tabs>
          <w:tab w:val="center" w:pos="1843"/>
          <w:tab w:val="center" w:pos="7371"/>
        </w:tabs>
        <w:rPr>
          <w:rFonts w:ascii="Arial" w:hAnsi="Arial" w:cs="Arial"/>
        </w:rPr>
      </w:pPr>
      <w:r w:rsidRPr="005C13DA">
        <w:rPr>
          <w:rFonts w:ascii="Arial" w:hAnsi="Arial" w:cs="Arial"/>
        </w:rPr>
        <w:t xml:space="preserve"> </w:t>
      </w:r>
    </w:p>
    <w:p w14:paraId="0A9A888F" w14:textId="7BE62640" w:rsidR="003C45A7" w:rsidRPr="005C13DA" w:rsidRDefault="003C45A7" w:rsidP="00663CC0">
      <w:pPr>
        <w:spacing w:before="120"/>
        <w:jc w:val="both"/>
        <w:rPr>
          <w:rFonts w:ascii="Arial" w:hAnsi="Arial" w:cs="Arial"/>
        </w:rPr>
        <w:sectPr w:rsidR="003C45A7" w:rsidRPr="005C13DA" w:rsidSect="004D5AE7">
          <w:headerReference w:type="default" r:id="rId9"/>
          <w:footerReference w:type="even" r:id="rId10"/>
          <w:footerReference w:type="default" r:id="rId11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14:paraId="65759423" w14:textId="77777777" w:rsidR="003C45A7" w:rsidRDefault="003C45A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0290496A" w14:textId="77777777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  <w:sectPr w:rsidR="001B1ED7" w:rsidSect="003C45A7">
          <w:type w:val="continuous"/>
          <w:pgSz w:w="11906" w:h="16838"/>
          <w:pgMar w:top="1304" w:right="1304" w:bottom="1021" w:left="1304" w:header="709" w:footer="709" w:gutter="0"/>
          <w:cols w:num="2" w:space="708"/>
        </w:sectPr>
      </w:pPr>
    </w:p>
    <w:p w14:paraId="5DAAD131" w14:textId="5845A323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22D2D581" w14:textId="77777777" w:rsidR="001B1ED7" w:rsidRPr="005C13DA" w:rsidRDefault="001B1ED7" w:rsidP="001B1ED7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5C13DA">
        <w:rPr>
          <w:rFonts w:ascii="Arial" w:hAnsi="Arial" w:cs="Arial"/>
          <w:sz w:val="20"/>
          <w:szCs w:val="20"/>
        </w:rPr>
        <w:t>Přílohy: Zákres trasy plynárenského zařízení v katastrální mapě</w:t>
      </w:r>
    </w:p>
    <w:p w14:paraId="0D558C1C" w14:textId="3B72066B" w:rsidR="001B1ED7" w:rsidRPr="005C13DA" w:rsidRDefault="001B1ED7" w:rsidP="001B1ED7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5C13DA">
        <w:rPr>
          <w:rFonts w:ascii="Arial" w:hAnsi="Arial" w:cs="Arial"/>
          <w:sz w:val="20"/>
          <w:szCs w:val="20"/>
        </w:rPr>
        <w:tab/>
      </w:r>
    </w:p>
    <w:p w14:paraId="7243F19A" w14:textId="77777777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  <w:sectPr w:rsidR="001B1ED7" w:rsidSect="001B1ED7">
          <w:type w:val="continuous"/>
          <w:pgSz w:w="11906" w:h="16838"/>
          <w:pgMar w:top="1304" w:right="1304" w:bottom="1021" w:left="1304" w:header="709" w:footer="709" w:gutter="0"/>
          <w:cols w:space="708"/>
        </w:sectPr>
      </w:pPr>
    </w:p>
    <w:p w14:paraId="3242EE56" w14:textId="2D495B65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  <w:sectPr w:rsidR="001B1ED7" w:rsidSect="001B1ED7">
          <w:type w:val="continuous"/>
          <w:pgSz w:w="11906" w:h="16838"/>
          <w:pgMar w:top="1304" w:right="1304" w:bottom="1021" w:left="1304" w:header="709" w:footer="709" w:gutter="0"/>
          <w:cols w:space="708"/>
        </w:sectPr>
      </w:pPr>
    </w:p>
    <w:p w14:paraId="7D2824DB" w14:textId="745D16DC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7A9C3B42" w14:textId="77777777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16DD4E6F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4316C5CD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5BAF1C44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67DC51E4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0A3E74F8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1919F91B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14763E54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1741D4DD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538FEC8A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53724432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61AF18BD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1554FE0D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78A30812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21798218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4D808765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56D6FBC4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584C9694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0D399C76" w14:textId="77777777" w:rsidR="00C36671" w:rsidRDefault="00C36671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569A52BA" w14:textId="77777777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p w14:paraId="79649E3B" w14:textId="77777777" w:rsidR="001B1ED7" w:rsidRDefault="001B1ED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91"/>
        <w:gridCol w:w="1408"/>
        <w:gridCol w:w="2576"/>
        <w:gridCol w:w="1914"/>
        <w:gridCol w:w="1625"/>
      </w:tblGrid>
      <w:tr w:rsidR="001B1ED7" w:rsidRPr="00247617" w14:paraId="5CDBC924" w14:textId="77777777" w:rsidTr="003D1CD7">
        <w:trPr>
          <w:trHeight w:val="454"/>
        </w:trPr>
        <w:tc>
          <w:tcPr>
            <w:tcW w:w="1046" w:type="pct"/>
            <w:shd w:val="clear" w:color="auto" w:fill="BFBFBF"/>
            <w:vAlign w:val="center"/>
          </w:tcPr>
          <w:p w14:paraId="6AD00485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14:paraId="494A49B8" w14:textId="77777777" w:rsidR="001B1ED7" w:rsidRPr="00E15930" w:rsidRDefault="001B1ED7" w:rsidP="003D1CD7">
            <w:pPr>
              <w:pStyle w:val="Bezmezer"/>
              <w:jc w:val="center"/>
              <w:rPr>
                <w:b/>
              </w:rPr>
            </w:pPr>
            <w:r w:rsidRPr="00E15930">
              <w:rPr>
                <w:b/>
              </w:rPr>
              <w:t>Datum</w:t>
            </w:r>
          </w:p>
        </w:tc>
        <w:tc>
          <w:tcPr>
            <w:tcW w:w="1354" w:type="pct"/>
            <w:tcBorders>
              <w:bottom w:val="single" w:sz="12" w:space="0" w:color="auto"/>
            </w:tcBorders>
            <w:vAlign w:val="center"/>
          </w:tcPr>
          <w:p w14:paraId="41FAE4CC" w14:textId="77777777" w:rsidR="001B1ED7" w:rsidRPr="00247617" w:rsidRDefault="001B1ED7" w:rsidP="003D1CD7">
            <w:pPr>
              <w:pStyle w:val="Bezmezer"/>
              <w:jc w:val="center"/>
              <w:rPr>
                <w:b/>
              </w:rPr>
            </w:pPr>
            <w:r w:rsidRPr="00247617">
              <w:rPr>
                <w:b/>
              </w:rPr>
              <w:t>Jméno</w:t>
            </w:r>
          </w:p>
        </w:tc>
        <w:tc>
          <w:tcPr>
            <w:tcW w:w="1006" w:type="pct"/>
            <w:tcBorders>
              <w:bottom w:val="single" w:sz="12" w:space="0" w:color="auto"/>
            </w:tcBorders>
            <w:vAlign w:val="center"/>
          </w:tcPr>
          <w:p w14:paraId="51282E7D" w14:textId="77777777" w:rsidR="001B1ED7" w:rsidRPr="00247617" w:rsidRDefault="001B1ED7" w:rsidP="003D1CD7">
            <w:pPr>
              <w:pStyle w:val="Bezmezer"/>
              <w:jc w:val="center"/>
              <w:rPr>
                <w:b/>
              </w:rPr>
            </w:pPr>
            <w:r w:rsidRPr="00247617">
              <w:rPr>
                <w:b/>
              </w:rPr>
              <w:t>Funkce</w:t>
            </w:r>
          </w:p>
        </w:tc>
        <w:tc>
          <w:tcPr>
            <w:tcW w:w="854" w:type="pct"/>
            <w:tcBorders>
              <w:bottom w:val="single" w:sz="12" w:space="0" w:color="auto"/>
            </w:tcBorders>
            <w:vAlign w:val="center"/>
          </w:tcPr>
          <w:p w14:paraId="0D8C5D16" w14:textId="77777777" w:rsidR="001B1ED7" w:rsidRPr="00247617" w:rsidRDefault="001B1ED7" w:rsidP="003D1CD7">
            <w:pPr>
              <w:pStyle w:val="Bezmezer"/>
              <w:jc w:val="center"/>
              <w:rPr>
                <w:b/>
              </w:rPr>
            </w:pPr>
            <w:r w:rsidRPr="00247617">
              <w:rPr>
                <w:b/>
              </w:rPr>
              <w:t>Podpis</w:t>
            </w:r>
          </w:p>
        </w:tc>
      </w:tr>
      <w:tr w:rsidR="001B1ED7" w:rsidRPr="00247617" w14:paraId="468930CB" w14:textId="77777777" w:rsidTr="003D1CD7">
        <w:trPr>
          <w:trHeight w:val="454"/>
        </w:trPr>
        <w:tc>
          <w:tcPr>
            <w:tcW w:w="1046" w:type="pct"/>
            <w:vAlign w:val="center"/>
          </w:tcPr>
          <w:p w14:paraId="76C05419" w14:textId="77777777" w:rsidR="001B1ED7" w:rsidRDefault="001B1ED7" w:rsidP="003D1CD7">
            <w:pPr>
              <w:pStyle w:val="Bezmezer"/>
              <w:rPr>
                <w:b/>
              </w:rPr>
            </w:pPr>
          </w:p>
          <w:p w14:paraId="4B67441C" w14:textId="77777777" w:rsidR="001B1ED7" w:rsidRPr="00247617" w:rsidRDefault="001B1ED7" w:rsidP="003D1CD7">
            <w:pPr>
              <w:pStyle w:val="Bezmezer"/>
              <w:rPr>
                <w:b/>
              </w:rPr>
            </w:pPr>
            <w:r>
              <w:rPr>
                <w:b/>
              </w:rPr>
              <w:t>Kontroloval:</w:t>
            </w:r>
          </w:p>
        </w:tc>
        <w:tc>
          <w:tcPr>
            <w:tcW w:w="740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3ACB7EB" w14:textId="77777777" w:rsidR="001B1ED7" w:rsidRDefault="001B1ED7" w:rsidP="003D1CD7">
            <w:pPr>
              <w:pStyle w:val="Bezmezer"/>
            </w:pPr>
          </w:p>
          <w:p w14:paraId="241892BB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13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1DA09" w14:textId="77777777" w:rsidR="001B1ED7" w:rsidRDefault="001B1ED7" w:rsidP="003D1CD7">
            <w:pPr>
              <w:pStyle w:val="Bezmezer"/>
            </w:pPr>
          </w:p>
          <w:p w14:paraId="70D67DC2" w14:textId="77777777" w:rsidR="001B1ED7" w:rsidRPr="00247617" w:rsidRDefault="001B1ED7" w:rsidP="003D1CD7">
            <w:pPr>
              <w:pStyle w:val="Bezmezer"/>
            </w:pPr>
            <w:r>
              <w:t>Radka Fikrtová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36A4B" w14:textId="77777777" w:rsidR="001B1ED7" w:rsidRDefault="001B1ED7" w:rsidP="003D1CD7">
            <w:pPr>
              <w:pStyle w:val="Bezmezer"/>
            </w:pPr>
          </w:p>
          <w:p w14:paraId="6B31B1F6" w14:textId="77777777" w:rsidR="001B1ED7" w:rsidRPr="00247617" w:rsidRDefault="001B1ED7" w:rsidP="003D1CD7">
            <w:pPr>
              <w:pStyle w:val="Bezmezer"/>
            </w:pPr>
            <w:r>
              <w:t>referent ONM</w:t>
            </w:r>
          </w:p>
        </w:tc>
        <w:tc>
          <w:tcPr>
            <w:tcW w:w="854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8507CD" w14:textId="77777777" w:rsidR="001B1ED7" w:rsidRPr="00247617" w:rsidRDefault="001B1ED7" w:rsidP="003D1CD7">
            <w:pPr>
              <w:pStyle w:val="Bezmezer"/>
            </w:pPr>
          </w:p>
        </w:tc>
      </w:tr>
      <w:tr w:rsidR="001B1ED7" w:rsidRPr="00247617" w14:paraId="1DCE0659" w14:textId="77777777" w:rsidTr="003D1CD7">
        <w:trPr>
          <w:trHeight w:val="454"/>
        </w:trPr>
        <w:tc>
          <w:tcPr>
            <w:tcW w:w="1046" w:type="pct"/>
            <w:vAlign w:val="center"/>
          </w:tcPr>
          <w:p w14:paraId="1821B630" w14:textId="77777777" w:rsidR="001B1ED7" w:rsidRDefault="001B1ED7" w:rsidP="003D1CD7">
            <w:pPr>
              <w:pStyle w:val="Bezmezer"/>
              <w:rPr>
                <w:b/>
              </w:rPr>
            </w:pPr>
          </w:p>
          <w:p w14:paraId="60570C21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Schválil:</w:t>
            </w:r>
          </w:p>
        </w:tc>
        <w:tc>
          <w:tcPr>
            <w:tcW w:w="74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92CC7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77926" w14:textId="77777777" w:rsidR="001B1ED7" w:rsidRDefault="001B1ED7" w:rsidP="003D1CD7">
            <w:pPr>
              <w:pStyle w:val="Bezmezer"/>
            </w:pPr>
          </w:p>
          <w:p w14:paraId="26AFA31D" w14:textId="77777777" w:rsidR="001B1ED7" w:rsidRPr="00247617" w:rsidRDefault="001B1ED7" w:rsidP="003D1CD7">
            <w:pPr>
              <w:pStyle w:val="Bezmezer"/>
            </w:pPr>
            <w:r>
              <w:t>Ing. Petr Řeháček, MBA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15033" w14:textId="77777777" w:rsidR="001B1ED7" w:rsidRDefault="001B1ED7" w:rsidP="003D1CD7">
            <w:pPr>
              <w:pStyle w:val="Bezmezer"/>
            </w:pPr>
          </w:p>
          <w:p w14:paraId="223E8501" w14:textId="77777777" w:rsidR="001B1ED7" w:rsidRPr="00247617" w:rsidRDefault="001B1ED7" w:rsidP="003D1CD7">
            <w:pPr>
              <w:pStyle w:val="Bezmezer"/>
            </w:pPr>
            <w:r>
              <w:t>vedoucí ONM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812DFC" w14:textId="77777777" w:rsidR="001B1ED7" w:rsidRPr="00247617" w:rsidRDefault="001B1ED7" w:rsidP="003D1CD7">
            <w:pPr>
              <w:pStyle w:val="Bezmezer"/>
            </w:pPr>
          </w:p>
        </w:tc>
      </w:tr>
      <w:tr w:rsidR="001B1ED7" w:rsidRPr="00247617" w14:paraId="475C8C47" w14:textId="77777777" w:rsidTr="003D1CD7">
        <w:trPr>
          <w:trHeight w:val="454"/>
        </w:trPr>
        <w:tc>
          <w:tcPr>
            <w:tcW w:w="1046" w:type="pct"/>
            <w:vAlign w:val="center"/>
          </w:tcPr>
          <w:p w14:paraId="03D64A18" w14:textId="77777777" w:rsidR="001B1ED7" w:rsidRDefault="001B1ED7" w:rsidP="003D1CD7">
            <w:pPr>
              <w:pStyle w:val="Bezmezer"/>
              <w:rPr>
                <w:b/>
              </w:rPr>
            </w:pPr>
          </w:p>
          <w:p w14:paraId="4EE53251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Správce rozpočtu:</w:t>
            </w:r>
          </w:p>
        </w:tc>
        <w:tc>
          <w:tcPr>
            <w:tcW w:w="74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81EB9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F7C1F" w14:textId="77777777" w:rsidR="001B1ED7" w:rsidRDefault="001B1ED7" w:rsidP="003D1CD7">
            <w:pPr>
              <w:pStyle w:val="Bezmezer"/>
            </w:pPr>
          </w:p>
          <w:p w14:paraId="0D596DBB" w14:textId="77777777" w:rsidR="001B1ED7" w:rsidRPr="00247617" w:rsidRDefault="001B1ED7" w:rsidP="003D1CD7">
            <w:pPr>
              <w:pStyle w:val="Bezmezer"/>
            </w:pPr>
            <w:r>
              <w:t>Ing. Zdeňka Burešová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368D0" w14:textId="77777777" w:rsidR="001B1ED7" w:rsidRDefault="001B1ED7" w:rsidP="003D1CD7">
            <w:pPr>
              <w:pStyle w:val="Bezmezer"/>
            </w:pPr>
          </w:p>
          <w:p w14:paraId="5B68D126" w14:textId="77777777" w:rsidR="001B1ED7" w:rsidRPr="00247617" w:rsidRDefault="001B1ED7" w:rsidP="003D1CD7">
            <w:pPr>
              <w:pStyle w:val="Bezmezer"/>
            </w:pPr>
            <w:r>
              <w:t>ekonom ONM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2C739F" w14:textId="77777777" w:rsidR="001B1ED7" w:rsidRPr="00247617" w:rsidRDefault="001B1ED7" w:rsidP="003D1CD7">
            <w:pPr>
              <w:pStyle w:val="Bezmezer"/>
            </w:pPr>
          </w:p>
        </w:tc>
      </w:tr>
      <w:tr w:rsidR="001B1ED7" w:rsidRPr="00247617" w14:paraId="6EED1A19" w14:textId="77777777" w:rsidTr="003D1CD7">
        <w:trPr>
          <w:trHeight w:val="454"/>
        </w:trPr>
        <w:tc>
          <w:tcPr>
            <w:tcW w:w="1046" w:type="pct"/>
            <w:vAlign w:val="center"/>
          </w:tcPr>
          <w:p w14:paraId="447E60C0" w14:textId="77777777" w:rsidR="001B1ED7" w:rsidRDefault="001B1ED7" w:rsidP="003D1CD7">
            <w:pPr>
              <w:pStyle w:val="Bezmezer"/>
              <w:rPr>
                <w:b/>
              </w:rPr>
            </w:pPr>
          </w:p>
          <w:p w14:paraId="3F52813D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Právní oddělení:</w:t>
            </w:r>
          </w:p>
        </w:tc>
        <w:tc>
          <w:tcPr>
            <w:tcW w:w="74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D2AE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B9604" w14:textId="11C13E12" w:rsidR="001B1ED7" w:rsidRPr="00247617" w:rsidRDefault="006D7D84" w:rsidP="003D1CD7">
            <w:pPr>
              <w:pStyle w:val="Bezmezer"/>
            </w:pPr>
            <w:r>
              <w:t>Mgr. Pavla Schniererová Masičová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07639" w14:textId="77777777" w:rsidR="006D7D84" w:rsidRDefault="006D7D84" w:rsidP="00C36671">
            <w:pPr>
              <w:pStyle w:val="Bezmezer"/>
            </w:pPr>
          </w:p>
          <w:p w14:paraId="5ADAB7BD" w14:textId="01939179" w:rsidR="001B1ED7" w:rsidRPr="00247617" w:rsidRDefault="006D7D84" w:rsidP="00C36671">
            <w:pPr>
              <w:pStyle w:val="Bezmezer"/>
            </w:pPr>
            <w:r>
              <w:t>právník OKT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3C7B165" w14:textId="77777777" w:rsidR="001B1ED7" w:rsidRPr="00247617" w:rsidRDefault="001B1ED7" w:rsidP="003D1CD7">
            <w:pPr>
              <w:pStyle w:val="Bezmezer"/>
            </w:pPr>
          </w:p>
        </w:tc>
      </w:tr>
      <w:tr w:rsidR="001B1ED7" w:rsidRPr="00247617" w14:paraId="2CF94D16" w14:textId="77777777" w:rsidTr="003D1CD7">
        <w:trPr>
          <w:gridAfter w:val="1"/>
          <w:wAfter w:w="854" w:type="pct"/>
          <w:trHeight w:val="454"/>
        </w:trPr>
        <w:tc>
          <w:tcPr>
            <w:tcW w:w="1046" w:type="pct"/>
            <w:vAlign w:val="center"/>
          </w:tcPr>
          <w:p w14:paraId="190F29F2" w14:textId="77777777" w:rsidR="001B1ED7" w:rsidRDefault="001B1ED7" w:rsidP="003D1CD7">
            <w:pPr>
              <w:pStyle w:val="Bezmezer"/>
              <w:rPr>
                <w:b/>
              </w:rPr>
            </w:pPr>
          </w:p>
          <w:p w14:paraId="75C8DBF0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Schváleno</w:t>
            </w:r>
            <w:r>
              <w:rPr>
                <w:b/>
              </w:rPr>
              <w:t xml:space="preserve"> </w:t>
            </w:r>
            <w:r w:rsidRPr="00247617">
              <w:rPr>
                <w:b/>
              </w:rPr>
              <w:t xml:space="preserve"> - RM:</w:t>
            </w:r>
          </w:p>
        </w:tc>
        <w:tc>
          <w:tcPr>
            <w:tcW w:w="74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A7AC7" w14:textId="77777777" w:rsidR="001B1ED7" w:rsidRDefault="001B1ED7" w:rsidP="003D1CD7">
            <w:pPr>
              <w:pStyle w:val="Bezmezer"/>
            </w:pPr>
          </w:p>
          <w:p w14:paraId="6834F00B" w14:textId="637F9304" w:rsidR="001B1ED7" w:rsidRPr="00247617" w:rsidRDefault="005D44C1" w:rsidP="003D1CD7">
            <w:pPr>
              <w:pStyle w:val="Bezmezer"/>
            </w:pPr>
            <w:r>
              <w:t>23.5.2018</w:t>
            </w: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C856" w14:textId="77777777" w:rsidR="001B1ED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</w:p>
          <w:p w14:paraId="10B76C21" w14:textId="3037F857" w:rsidR="001B1ED7" w:rsidRPr="00247617" w:rsidRDefault="001B1ED7" w:rsidP="00C36671">
            <w:pPr>
              <w:pStyle w:val="Bezmezer"/>
              <w:rPr>
                <w:b/>
                <w:sz w:val="18"/>
                <w:szCs w:val="18"/>
              </w:rPr>
            </w:pPr>
            <w:r w:rsidRPr="00247617">
              <w:rPr>
                <w:b/>
                <w:sz w:val="18"/>
                <w:szCs w:val="18"/>
              </w:rPr>
              <w:t>Číslo usnesení</w:t>
            </w:r>
            <w:r w:rsidR="00C36671">
              <w:rPr>
                <w:b/>
                <w:sz w:val="18"/>
                <w:szCs w:val="18"/>
              </w:rPr>
              <w:t>:</w:t>
            </w:r>
            <w:r w:rsidRPr="00247617">
              <w:rPr>
                <w:b/>
                <w:sz w:val="18"/>
                <w:szCs w:val="18"/>
              </w:rPr>
              <w:t xml:space="preserve"> </w:t>
            </w:r>
            <w:r w:rsidR="005D44C1" w:rsidRPr="005D44C1">
              <w:t>R/2520/95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BBDC24" w14:textId="77777777" w:rsidR="001B1ED7" w:rsidRPr="0024761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</w:p>
        </w:tc>
      </w:tr>
      <w:tr w:rsidR="001B1ED7" w:rsidRPr="00247617" w14:paraId="0187A0F0" w14:textId="77777777" w:rsidTr="003D1CD7">
        <w:trPr>
          <w:gridAfter w:val="1"/>
          <w:wAfter w:w="854" w:type="pct"/>
          <w:trHeight w:val="454"/>
        </w:trPr>
        <w:tc>
          <w:tcPr>
            <w:tcW w:w="1046" w:type="pct"/>
            <w:vAlign w:val="center"/>
          </w:tcPr>
          <w:p w14:paraId="730F1011" w14:textId="77777777" w:rsidR="001B1ED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 xml:space="preserve"> </w:t>
            </w:r>
          </w:p>
          <w:p w14:paraId="23E85C88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</w:t>
            </w:r>
            <w:r w:rsidRPr="00247617">
              <w:rPr>
                <w:b/>
              </w:rPr>
              <w:t>ZM:</w:t>
            </w:r>
          </w:p>
        </w:tc>
        <w:tc>
          <w:tcPr>
            <w:tcW w:w="74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286BA" w14:textId="77777777" w:rsidR="001B1ED7" w:rsidRDefault="001B1ED7" w:rsidP="003D1CD7">
            <w:pPr>
              <w:pStyle w:val="Bezmezer"/>
            </w:pPr>
          </w:p>
          <w:p w14:paraId="416765B0" w14:textId="77777777" w:rsidR="001B1ED7" w:rsidRPr="00247617" w:rsidRDefault="001B1ED7" w:rsidP="003D1CD7">
            <w:pPr>
              <w:pStyle w:val="Bezmezer"/>
            </w:pPr>
            <w:r>
              <w:t>----------------</w:t>
            </w: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4DBCB" w14:textId="77777777" w:rsidR="001B1ED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</w:p>
          <w:p w14:paraId="5360BFD4" w14:textId="77777777" w:rsidR="001B1ED7" w:rsidRPr="0024761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  <w:r w:rsidRPr="00247617">
              <w:rPr>
                <w:b/>
                <w:sz w:val="18"/>
                <w:szCs w:val="18"/>
              </w:rPr>
              <w:t>Číslo usnesení:</w:t>
            </w:r>
            <w:r>
              <w:rPr>
                <w:b/>
                <w:sz w:val="18"/>
                <w:szCs w:val="18"/>
              </w:rPr>
              <w:t xml:space="preserve"> -------------------</w:t>
            </w:r>
          </w:p>
        </w:tc>
        <w:tc>
          <w:tcPr>
            <w:tcW w:w="100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1AC13FD" w14:textId="77777777" w:rsidR="001B1ED7" w:rsidRPr="0024761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</w:p>
        </w:tc>
      </w:tr>
      <w:tr w:rsidR="001B1ED7" w:rsidRPr="00247617" w14:paraId="139B1549" w14:textId="77777777" w:rsidTr="003D1CD7">
        <w:trPr>
          <w:gridAfter w:val="2"/>
          <w:wAfter w:w="1860" w:type="pct"/>
          <w:trHeight w:val="454"/>
        </w:trPr>
        <w:tc>
          <w:tcPr>
            <w:tcW w:w="1046" w:type="pct"/>
            <w:vAlign w:val="center"/>
          </w:tcPr>
          <w:p w14:paraId="4B35CA5D" w14:textId="77777777" w:rsidR="001B1ED7" w:rsidRDefault="001B1ED7" w:rsidP="003D1CD7">
            <w:pPr>
              <w:pStyle w:val="Bezmezer"/>
              <w:rPr>
                <w:b/>
              </w:rPr>
            </w:pPr>
          </w:p>
          <w:p w14:paraId="69A12DF2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Zveřejněno:</w:t>
            </w:r>
          </w:p>
        </w:tc>
        <w:tc>
          <w:tcPr>
            <w:tcW w:w="74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C9240" w14:textId="77777777" w:rsidR="001B1ED7" w:rsidRPr="0024761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  <w:r w:rsidRPr="002931D2">
              <w:rPr>
                <w:sz w:val="18"/>
                <w:szCs w:val="18"/>
              </w:rPr>
              <w:t>Od:</w:t>
            </w:r>
            <w:r>
              <w:rPr>
                <w:sz w:val="18"/>
                <w:szCs w:val="18"/>
              </w:rPr>
              <w:t xml:space="preserve"> -------------</w:t>
            </w: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338C52" w14:textId="77777777" w:rsidR="001B1ED7" w:rsidRPr="00247617" w:rsidRDefault="001B1ED7" w:rsidP="003D1CD7">
            <w:pPr>
              <w:pStyle w:val="Bezmezer"/>
              <w:rPr>
                <w:b/>
                <w:sz w:val="18"/>
                <w:szCs w:val="18"/>
              </w:rPr>
            </w:pPr>
            <w:r w:rsidRPr="002931D2">
              <w:rPr>
                <w:sz w:val="18"/>
                <w:szCs w:val="18"/>
              </w:rPr>
              <w:t>Do:</w:t>
            </w:r>
            <w:r>
              <w:rPr>
                <w:sz w:val="18"/>
                <w:szCs w:val="18"/>
              </w:rPr>
              <w:t xml:space="preserve"> -----------------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B1ED7" w:rsidRPr="00247617" w14:paraId="690DCC40" w14:textId="77777777" w:rsidTr="003D1CD7">
        <w:trPr>
          <w:trHeight w:val="454"/>
        </w:trPr>
        <w:tc>
          <w:tcPr>
            <w:tcW w:w="1046" w:type="pct"/>
            <w:vAlign w:val="center"/>
          </w:tcPr>
          <w:p w14:paraId="3F8C4FC9" w14:textId="77777777" w:rsidR="001B1ED7" w:rsidRPr="00247617" w:rsidRDefault="001B1ED7" w:rsidP="003D1CD7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Vedení města:</w:t>
            </w:r>
          </w:p>
        </w:tc>
        <w:tc>
          <w:tcPr>
            <w:tcW w:w="740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4DDA9B1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13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C38C58" w14:textId="77777777" w:rsidR="001B1ED7" w:rsidRPr="00247617" w:rsidRDefault="001B1ED7" w:rsidP="003D1CD7">
            <w:pPr>
              <w:pStyle w:val="Bezmezer"/>
            </w:pPr>
            <w:r>
              <w:t>Mgr. Milan Šťovíček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EBE9C7" w14:textId="77777777" w:rsidR="001B1ED7" w:rsidRDefault="001B1ED7" w:rsidP="003D1CD7">
            <w:pPr>
              <w:pStyle w:val="Bezmezer"/>
            </w:pPr>
          </w:p>
          <w:p w14:paraId="33746105" w14:textId="77777777" w:rsidR="001B1ED7" w:rsidRDefault="001B1ED7" w:rsidP="003D1CD7">
            <w:pPr>
              <w:pStyle w:val="Bezmezer"/>
            </w:pPr>
            <w:r>
              <w:t>2.místostarosta</w:t>
            </w:r>
          </w:p>
          <w:p w14:paraId="12BABB9C" w14:textId="77777777" w:rsidR="001B1ED7" w:rsidRPr="00247617" w:rsidRDefault="001B1ED7" w:rsidP="003D1CD7">
            <w:pPr>
              <w:pStyle w:val="Bezmezer"/>
            </w:pPr>
          </w:p>
        </w:tc>
        <w:tc>
          <w:tcPr>
            <w:tcW w:w="854" w:type="pct"/>
            <w:tcBorders>
              <w:left w:val="single" w:sz="2" w:space="0" w:color="auto"/>
            </w:tcBorders>
            <w:vAlign w:val="center"/>
          </w:tcPr>
          <w:p w14:paraId="20BC0B64" w14:textId="77777777" w:rsidR="001B1ED7" w:rsidRPr="00247617" w:rsidRDefault="001B1ED7" w:rsidP="003D1CD7">
            <w:pPr>
              <w:pStyle w:val="Bezmezer"/>
            </w:pPr>
          </w:p>
        </w:tc>
      </w:tr>
    </w:tbl>
    <w:p w14:paraId="0111E47D" w14:textId="77777777" w:rsidR="001B1ED7" w:rsidRDefault="001B1ED7" w:rsidP="001B1ED7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  <w:sectPr w:rsidR="001B1ED7" w:rsidSect="001B1ED7">
          <w:type w:val="continuous"/>
          <w:pgSz w:w="11906" w:h="16838"/>
          <w:pgMar w:top="1304" w:right="1304" w:bottom="1021" w:left="1304" w:header="709" w:footer="709" w:gutter="0"/>
          <w:cols w:space="708"/>
        </w:sectPr>
      </w:pPr>
    </w:p>
    <w:p w14:paraId="24173685" w14:textId="33989ED3" w:rsidR="001B1ED7" w:rsidRPr="005C13DA" w:rsidRDefault="001B1ED7" w:rsidP="001B1ED7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1B1ED7" w:rsidRPr="005C13DA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69402D" w15:done="0"/>
  <w15:commentEx w15:paraId="601CA97A" w15:done="0"/>
  <w15:commentEx w15:paraId="294C21F2" w15:paraIdParent="601CA97A" w15:done="0"/>
  <w15:commentEx w15:paraId="2165E7C8" w15:done="0"/>
  <w15:commentEx w15:paraId="4A2C4382" w15:paraIdParent="2165E7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69402D" w16cid:durableId="1E7B72B8"/>
  <w16cid:commentId w16cid:paraId="601CA97A" w16cid:durableId="1E7B72B9"/>
  <w16cid:commentId w16cid:paraId="294C21F2" w16cid:durableId="1E7B732C"/>
  <w16cid:commentId w16cid:paraId="2165E7C8" w16cid:durableId="1E7B72BA"/>
  <w16cid:commentId w16cid:paraId="4A2C4382" w16cid:durableId="1E7B75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C6733" w14:textId="77777777" w:rsidR="00DA4AFB" w:rsidRDefault="00DA4AFB">
      <w:r>
        <w:separator/>
      </w:r>
    </w:p>
  </w:endnote>
  <w:endnote w:type="continuationSeparator" w:id="0">
    <w:p w14:paraId="22D13C26" w14:textId="77777777" w:rsidR="00DA4AFB" w:rsidRDefault="00D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96D0" w14:textId="39820B0C" w:rsidR="00617288" w:rsidRDefault="00737224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5121F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C5121F">
      <w:rPr>
        <w:rFonts w:ascii="Arial" w:hAnsi="Arial" w:cs="Arial"/>
        <w:noProof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66693" w14:textId="77777777" w:rsidR="00DA4AFB" w:rsidRDefault="00DA4AFB">
      <w:r>
        <w:separator/>
      </w:r>
    </w:p>
  </w:footnote>
  <w:footnote w:type="continuationSeparator" w:id="0">
    <w:p w14:paraId="15C34F96" w14:textId="77777777" w:rsidR="00DA4AFB" w:rsidRDefault="00DA4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A9CA" w14:textId="0D48EDD1" w:rsidR="00617288" w:rsidRDefault="00727FEF">
    <w:pPr>
      <w:pStyle w:val="Zhlav"/>
    </w:pPr>
    <w:r>
      <w:tab/>
    </w:r>
    <w:r>
      <w:tab/>
      <w:t>KT/9695/18</w:t>
    </w:r>
    <w:r w:rsidR="00617288">
      <w:tab/>
    </w:r>
    <w:r w:rsidR="0061728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8621E"/>
    <w:multiLevelType w:val="hybridMultilevel"/>
    <w:tmpl w:val="289C50E8"/>
    <w:lvl w:ilvl="0" w:tplc="5DBEB3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F1059"/>
    <w:multiLevelType w:val="hybridMultilevel"/>
    <w:tmpl w:val="BECE6686"/>
    <w:lvl w:ilvl="0" w:tplc="5DFE5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edermannová Martina">
    <w15:presenceInfo w15:providerId="None" w15:userId="Wiedermannová Martina"/>
  </w15:person>
  <w15:person w15:author="Schniererova Pavla">
    <w15:presenceInfo w15:providerId="AD" w15:userId="S-1-5-21-321282877-1769080347-709122288-7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9"/>
    <w:rsid w:val="0000331E"/>
    <w:rsid w:val="00004871"/>
    <w:rsid w:val="0001362F"/>
    <w:rsid w:val="000161D2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63B13"/>
    <w:rsid w:val="000668D5"/>
    <w:rsid w:val="0007199B"/>
    <w:rsid w:val="0008484D"/>
    <w:rsid w:val="000A2644"/>
    <w:rsid w:val="000B22F3"/>
    <w:rsid w:val="000B40E2"/>
    <w:rsid w:val="000C45A9"/>
    <w:rsid w:val="000C6B3B"/>
    <w:rsid w:val="000E07A3"/>
    <w:rsid w:val="000E348A"/>
    <w:rsid w:val="000E4EEF"/>
    <w:rsid w:val="000E5678"/>
    <w:rsid w:val="000E781C"/>
    <w:rsid w:val="000F2ECC"/>
    <w:rsid w:val="000F5778"/>
    <w:rsid w:val="00102427"/>
    <w:rsid w:val="001044FC"/>
    <w:rsid w:val="001137E7"/>
    <w:rsid w:val="00114054"/>
    <w:rsid w:val="00120929"/>
    <w:rsid w:val="0012288A"/>
    <w:rsid w:val="00130383"/>
    <w:rsid w:val="00134A6F"/>
    <w:rsid w:val="00144883"/>
    <w:rsid w:val="0014549E"/>
    <w:rsid w:val="001517A6"/>
    <w:rsid w:val="0015394B"/>
    <w:rsid w:val="00160C97"/>
    <w:rsid w:val="00166402"/>
    <w:rsid w:val="00181B60"/>
    <w:rsid w:val="00184ACD"/>
    <w:rsid w:val="00192996"/>
    <w:rsid w:val="00197D55"/>
    <w:rsid w:val="001A05AE"/>
    <w:rsid w:val="001A2482"/>
    <w:rsid w:val="001A413B"/>
    <w:rsid w:val="001A7E5F"/>
    <w:rsid w:val="001B0690"/>
    <w:rsid w:val="001B1ED7"/>
    <w:rsid w:val="001B5FEA"/>
    <w:rsid w:val="001C1C94"/>
    <w:rsid w:val="001C2A61"/>
    <w:rsid w:val="001C42A5"/>
    <w:rsid w:val="001D70BA"/>
    <w:rsid w:val="001E66F6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4165"/>
    <w:rsid w:val="00295049"/>
    <w:rsid w:val="002B1689"/>
    <w:rsid w:val="002B5168"/>
    <w:rsid w:val="002C0F1C"/>
    <w:rsid w:val="002C5B38"/>
    <w:rsid w:val="002C6CB9"/>
    <w:rsid w:val="002C79EB"/>
    <w:rsid w:val="002D06A2"/>
    <w:rsid w:val="002D74A3"/>
    <w:rsid w:val="002E5242"/>
    <w:rsid w:val="002F2BE0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4DD9"/>
    <w:rsid w:val="003A042F"/>
    <w:rsid w:val="003A0DC8"/>
    <w:rsid w:val="003A51BA"/>
    <w:rsid w:val="003A6989"/>
    <w:rsid w:val="003B7605"/>
    <w:rsid w:val="003C45A7"/>
    <w:rsid w:val="003C4D7E"/>
    <w:rsid w:val="003E0970"/>
    <w:rsid w:val="003E708F"/>
    <w:rsid w:val="003F07A5"/>
    <w:rsid w:val="003F52D9"/>
    <w:rsid w:val="00403398"/>
    <w:rsid w:val="00412216"/>
    <w:rsid w:val="004131F0"/>
    <w:rsid w:val="00413B69"/>
    <w:rsid w:val="004164F1"/>
    <w:rsid w:val="0042081D"/>
    <w:rsid w:val="0042097E"/>
    <w:rsid w:val="004265CC"/>
    <w:rsid w:val="00440B25"/>
    <w:rsid w:val="00442C00"/>
    <w:rsid w:val="00445604"/>
    <w:rsid w:val="004548AD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A503B"/>
    <w:rsid w:val="004B03F0"/>
    <w:rsid w:val="004B0832"/>
    <w:rsid w:val="004C152E"/>
    <w:rsid w:val="004C153C"/>
    <w:rsid w:val="004D5AE7"/>
    <w:rsid w:val="004E0D04"/>
    <w:rsid w:val="004E204F"/>
    <w:rsid w:val="004E42A4"/>
    <w:rsid w:val="004F00A1"/>
    <w:rsid w:val="004F33F1"/>
    <w:rsid w:val="004F7D9B"/>
    <w:rsid w:val="00500529"/>
    <w:rsid w:val="0050071D"/>
    <w:rsid w:val="0051246C"/>
    <w:rsid w:val="00512D73"/>
    <w:rsid w:val="005152C6"/>
    <w:rsid w:val="00521415"/>
    <w:rsid w:val="005328CB"/>
    <w:rsid w:val="00537ECD"/>
    <w:rsid w:val="00541066"/>
    <w:rsid w:val="0054598B"/>
    <w:rsid w:val="005516AB"/>
    <w:rsid w:val="00555A01"/>
    <w:rsid w:val="00565399"/>
    <w:rsid w:val="00577CD2"/>
    <w:rsid w:val="005815E8"/>
    <w:rsid w:val="0059254F"/>
    <w:rsid w:val="005960F8"/>
    <w:rsid w:val="005A2D13"/>
    <w:rsid w:val="005B1F6C"/>
    <w:rsid w:val="005B3237"/>
    <w:rsid w:val="005B4775"/>
    <w:rsid w:val="005B4DCD"/>
    <w:rsid w:val="005B7DBD"/>
    <w:rsid w:val="005B7E5A"/>
    <w:rsid w:val="005C13DA"/>
    <w:rsid w:val="005C717E"/>
    <w:rsid w:val="005D363C"/>
    <w:rsid w:val="005D44C1"/>
    <w:rsid w:val="005D6501"/>
    <w:rsid w:val="005E39EE"/>
    <w:rsid w:val="00601ECD"/>
    <w:rsid w:val="00604988"/>
    <w:rsid w:val="00612D83"/>
    <w:rsid w:val="006136F0"/>
    <w:rsid w:val="00617288"/>
    <w:rsid w:val="0062067F"/>
    <w:rsid w:val="00624D9C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A1F23"/>
    <w:rsid w:val="006B499E"/>
    <w:rsid w:val="006B6334"/>
    <w:rsid w:val="006B6E6C"/>
    <w:rsid w:val="006C5B65"/>
    <w:rsid w:val="006D34E0"/>
    <w:rsid w:val="006D5640"/>
    <w:rsid w:val="006D7D84"/>
    <w:rsid w:val="006E460D"/>
    <w:rsid w:val="006E51D6"/>
    <w:rsid w:val="006F03D5"/>
    <w:rsid w:val="006F0862"/>
    <w:rsid w:val="006F1900"/>
    <w:rsid w:val="006F1977"/>
    <w:rsid w:val="006F4C75"/>
    <w:rsid w:val="0070300B"/>
    <w:rsid w:val="007265A5"/>
    <w:rsid w:val="00727FEF"/>
    <w:rsid w:val="00737224"/>
    <w:rsid w:val="007373B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83AD2"/>
    <w:rsid w:val="0079349F"/>
    <w:rsid w:val="00795168"/>
    <w:rsid w:val="007A784E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BE6"/>
    <w:rsid w:val="007E1DB5"/>
    <w:rsid w:val="007F0D0B"/>
    <w:rsid w:val="007F1867"/>
    <w:rsid w:val="007F5BAB"/>
    <w:rsid w:val="008115FD"/>
    <w:rsid w:val="00826D3E"/>
    <w:rsid w:val="008312C4"/>
    <w:rsid w:val="0083205D"/>
    <w:rsid w:val="0083247A"/>
    <w:rsid w:val="0083488F"/>
    <w:rsid w:val="00840901"/>
    <w:rsid w:val="00845F39"/>
    <w:rsid w:val="00847D3E"/>
    <w:rsid w:val="008538CB"/>
    <w:rsid w:val="00857066"/>
    <w:rsid w:val="00867C85"/>
    <w:rsid w:val="008721D0"/>
    <w:rsid w:val="008A1730"/>
    <w:rsid w:val="008B172A"/>
    <w:rsid w:val="008B3A8A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900005"/>
    <w:rsid w:val="009004B3"/>
    <w:rsid w:val="009041E8"/>
    <w:rsid w:val="0090614A"/>
    <w:rsid w:val="00907044"/>
    <w:rsid w:val="0090795C"/>
    <w:rsid w:val="00911D9D"/>
    <w:rsid w:val="009134C6"/>
    <w:rsid w:val="00932AE7"/>
    <w:rsid w:val="0093466C"/>
    <w:rsid w:val="00934C72"/>
    <w:rsid w:val="0093649F"/>
    <w:rsid w:val="00946906"/>
    <w:rsid w:val="00947EE6"/>
    <w:rsid w:val="00951D42"/>
    <w:rsid w:val="00961875"/>
    <w:rsid w:val="00963200"/>
    <w:rsid w:val="00963781"/>
    <w:rsid w:val="00971CD6"/>
    <w:rsid w:val="0097577B"/>
    <w:rsid w:val="00980A64"/>
    <w:rsid w:val="009879D7"/>
    <w:rsid w:val="00987A0B"/>
    <w:rsid w:val="0099019E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9D6"/>
    <w:rsid w:val="00A14958"/>
    <w:rsid w:val="00A1632D"/>
    <w:rsid w:val="00A2484E"/>
    <w:rsid w:val="00A31FA7"/>
    <w:rsid w:val="00A32AFD"/>
    <w:rsid w:val="00A34E3B"/>
    <w:rsid w:val="00A442CC"/>
    <w:rsid w:val="00A448F3"/>
    <w:rsid w:val="00A50825"/>
    <w:rsid w:val="00A65326"/>
    <w:rsid w:val="00A6728E"/>
    <w:rsid w:val="00A67FFC"/>
    <w:rsid w:val="00A73CD0"/>
    <w:rsid w:val="00A77EE0"/>
    <w:rsid w:val="00AA075C"/>
    <w:rsid w:val="00AA1036"/>
    <w:rsid w:val="00AB0027"/>
    <w:rsid w:val="00AB190A"/>
    <w:rsid w:val="00AB6D80"/>
    <w:rsid w:val="00AC577D"/>
    <w:rsid w:val="00AD6168"/>
    <w:rsid w:val="00AF47B7"/>
    <w:rsid w:val="00B0012E"/>
    <w:rsid w:val="00B01105"/>
    <w:rsid w:val="00B07AB8"/>
    <w:rsid w:val="00B15FFB"/>
    <w:rsid w:val="00B173EA"/>
    <w:rsid w:val="00B246F0"/>
    <w:rsid w:val="00B2606F"/>
    <w:rsid w:val="00B30DF3"/>
    <w:rsid w:val="00B40DFE"/>
    <w:rsid w:val="00B414C8"/>
    <w:rsid w:val="00B51908"/>
    <w:rsid w:val="00B623EB"/>
    <w:rsid w:val="00B73451"/>
    <w:rsid w:val="00B74339"/>
    <w:rsid w:val="00B77BF0"/>
    <w:rsid w:val="00B81659"/>
    <w:rsid w:val="00B83C86"/>
    <w:rsid w:val="00B864C3"/>
    <w:rsid w:val="00B90279"/>
    <w:rsid w:val="00B978CA"/>
    <w:rsid w:val="00BB1FD7"/>
    <w:rsid w:val="00BB5EE1"/>
    <w:rsid w:val="00BB73B8"/>
    <w:rsid w:val="00BC1B2D"/>
    <w:rsid w:val="00BC615C"/>
    <w:rsid w:val="00BE226B"/>
    <w:rsid w:val="00BF14F7"/>
    <w:rsid w:val="00BF402B"/>
    <w:rsid w:val="00C04D4B"/>
    <w:rsid w:val="00C14498"/>
    <w:rsid w:val="00C20832"/>
    <w:rsid w:val="00C25C49"/>
    <w:rsid w:val="00C27B4B"/>
    <w:rsid w:val="00C36671"/>
    <w:rsid w:val="00C41403"/>
    <w:rsid w:val="00C43C49"/>
    <w:rsid w:val="00C5121F"/>
    <w:rsid w:val="00C542E5"/>
    <w:rsid w:val="00C56B76"/>
    <w:rsid w:val="00C64752"/>
    <w:rsid w:val="00C74023"/>
    <w:rsid w:val="00C76F93"/>
    <w:rsid w:val="00C84E7F"/>
    <w:rsid w:val="00C94F26"/>
    <w:rsid w:val="00C95117"/>
    <w:rsid w:val="00C95556"/>
    <w:rsid w:val="00CA04AD"/>
    <w:rsid w:val="00CA28C8"/>
    <w:rsid w:val="00CA6378"/>
    <w:rsid w:val="00CB26E8"/>
    <w:rsid w:val="00CC073A"/>
    <w:rsid w:val="00CC1D08"/>
    <w:rsid w:val="00CC388B"/>
    <w:rsid w:val="00CE0BDA"/>
    <w:rsid w:val="00CF6D10"/>
    <w:rsid w:val="00D02175"/>
    <w:rsid w:val="00D04DB1"/>
    <w:rsid w:val="00D06692"/>
    <w:rsid w:val="00D1179C"/>
    <w:rsid w:val="00D15DB9"/>
    <w:rsid w:val="00D240B7"/>
    <w:rsid w:val="00D32653"/>
    <w:rsid w:val="00D33435"/>
    <w:rsid w:val="00D36BFA"/>
    <w:rsid w:val="00D55B1F"/>
    <w:rsid w:val="00D71B80"/>
    <w:rsid w:val="00D7589F"/>
    <w:rsid w:val="00D80CC5"/>
    <w:rsid w:val="00D84536"/>
    <w:rsid w:val="00D84F52"/>
    <w:rsid w:val="00D85BA7"/>
    <w:rsid w:val="00DA1AFC"/>
    <w:rsid w:val="00DA24AE"/>
    <w:rsid w:val="00DA2F2E"/>
    <w:rsid w:val="00DA4AFB"/>
    <w:rsid w:val="00DA5C70"/>
    <w:rsid w:val="00DA652D"/>
    <w:rsid w:val="00DB6B1C"/>
    <w:rsid w:val="00DD0407"/>
    <w:rsid w:val="00DD6CED"/>
    <w:rsid w:val="00DD718C"/>
    <w:rsid w:val="00DE7EA6"/>
    <w:rsid w:val="00E02A7C"/>
    <w:rsid w:val="00E078D9"/>
    <w:rsid w:val="00E110DA"/>
    <w:rsid w:val="00E13389"/>
    <w:rsid w:val="00E13B19"/>
    <w:rsid w:val="00E15EDD"/>
    <w:rsid w:val="00E166CC"/>
    <w:rsid w:val="00E23F43"/>
    <w:rsid w:val="00E258B9"/>
    <w:rsid w:val="00E2687C"/>
    <w:rsid w:val="00E378A1"/>
    <w:rsid w:val="00E4041E"/>
    <w:rsid w:val="00E5117B"/>
    <w:rsid w:val="00E54DB8"/>
    <w:rsid w:val="00E566DC"/>
    <w:rsid w:val="00E751BD"/>
    <w:rsid w:val="00E80957"/>
    <w:rsid w:val="00E85D4F"/>
    <w:rsid w:val="00EA0375"/>
    <w:rsid w:val="00EB4D32"/>
    <w:rsid w:val="00EC768D"/>
    <w:rsid w:val="00EE69BD"/>
    <w:rsid w:val="00EE7071"/>
    <w:rsid w:val="00EF7EC7"/>
    <w:rsid w:val="00F10EF6"/>
    <w:rsid w:val="00F1642B"/>
    <w:rsid w:val="00F216D7"/>
    <w:rsid w:val="00F37505"/>
    <w:rsid w:val="00F51B51"/>
    <w:rsid w:val="00F5254F"/>
    <w:rsid w:val="00F52A70"/>
    <w:rsid w:val="00F616E6"/>
    <w:rsid w:val="00F70AB4"/>
    <w:rsid w:val="00F867CF"/>
    <w:rsid w:val="00F91CD1"/>
    <w:rsid w:val="00F968D0"/>
    <w:rsid w:val="00FA0D4D"/>
    <w:rsid w:val="00FA5781"/>
    <w:rsid w:val="00FA6774"/>
    <w:rsid w:val="00FB4CB8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  <w:style w:type="paragraph" w:customStyle="1" w:styleId="Normlntextsmlouvy">
    <w:name w:val="Normální text smlouvy"/>
    <w:basedOn w:val="Normln"/>
    <w:qFormat/>
    <w:rsid w:val="00C542E5"/>
    <w:pPr>
      <w:tabs>
        <w:tab w:val="left" w:pos="284"/>
      </w:tabs>
      <w:spacing w:before="240"/>
      <w:jc w:val="both"/>
    </w:pPr>
    <w:rPr>
      <w:rFonts w:ascii="Arial" w:hAnsi="Arial" w:cs="Arial"/>
    </w:rPr>
  </w:style>
  <w:style w:type="paragraph" w:styleId="Bezmezer">
    <w:name w:val="No Spacing"/>
    <w:uiPriority w:val="1"/>
    <w:qFormat/>
    <w:rsid w:val="001B1ED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  <w:style w:type="paragraph" w:customStyle="1" w:styleId="Normlntextsmlouvy">
    <w:name w:val="Normální text smlouvy"/>
    <w:basedOn w:val="Normln"/>
    <w:qFormat/>
    <w:rsid w:val="00C542E5"/>
    <w:pPr>
      <w:tabs>
        <w:tab w:val="left" w:pos="284"/>
      </w:tabs>
      <w:spacing w:before="240"/>
      <w:jc w:val="both"/>
    </w:pPr>
    <w:rPr>
      <w:rFonts w:ascii="Arial" w:hAnsi="Arial" w:cs="Arial"/>
    </w:rPr>
  </w:style>
  <w:style w:type="paragraph" w:styleId="Bezmezer">
    <w:name w:val="No Spacing"/>
    <w:uiPriority w:val="1"/>
    <w:qFormat/>
    <w:rsid w:val="001B1E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0AB2-4CB4-4E77-8BC2-52C7BB2B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1914</Words>
  <Characters>11296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 Interní služby, a.s.</Company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Píšek</dc:creator>
  <cp:lastModifiedBy>Sieberova Miroslava</cp:lastModifiedBy>
  <cp:revision>2</cp:revision>
  <cp:lastPrinted>2018-06-13T11:16:00Z</cp:lastPrinted>
  <dcterms:created xsi:type="dcterms:W3CDTF">2018-07-18T06:34:00Z</dcterms:created>
  <dcterms:modified xsi:type="dcterms:W3CDTF">2018-07-18T06:34:00Z</dcterms:modified>
</cp:coreProperties>
</file>