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zn. PR1342</w:t>
      </w:r>
    </w:p>
    <w:p w:rsidR="00E46BD8" w:rsidRPr="001C153D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E46BD8" w:rsidRPr="001C153D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1C153D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1C153D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1C153D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1C153D" w:rsidRPr="001C153D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="001C153D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548B0" w:rsidRPr="001C153D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C2BF7" w:rsidRPr="001C153D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6548B0" w:rsidRPr="001C153D" w:rsidRDefault="00E46BD8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3C2BF7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C2BF7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3C2BF7" w:rsidRPr="001C153D" w:rsidRDefault="003C2BF7" w:rsidP="003C2BF7">
      <w:pPr>
        <w:pStyle w:val="Odstavecseseznamem"/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548B0" w:rsidRPr="001C153D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„příkazce“).</w:t>
      </w:r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Příkazník: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 w:rsidRPr="001C153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DPU REVIT s.r.o.</w:t>
      </w:r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28. října</w:t>
      </w:r>
      <w:r w:rsidR="000F24E7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D67D6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375/9, 110 00 Praha 1 – Staré Město</w:t>
      </w:r>
    </w:p>
    <w:p w:rsidR="006548B0" w:rsidRPr="001C153D" w:rsidRDefault="006548B0" w:rsidP="00F82F32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Městského soudu v Praze, oddíl C, vložka 202541</w:t>
      </w:r>
    </w:p>
    <w:p w:rsidR="006548B0" w:rsidRPr="001C153D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3C2BF7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IČO: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28711335, </w:t>
      </w:r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CZ28711335</w:t>
      </w:r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7D6"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cere6c9</w:t>
      </w:r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6548B0" w:rsidRPr="001C15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6548B0" w:rsidRPr="001C153D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548B0" w:rsidRPr="001C153D" w:rsidRDefault="006548B0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6548B0" w:rsidRPr="001C153D" w:rsidRDefault="006548B0" w:rsidP="001C153D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1C153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ED09A1" w:rsidRPr="003C2BF7" w:rsidRDefault="00ED09A1" w:rsidP="00ED09A1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F82F32" w:rsidRDefault="00ED09A1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48B0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48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F82F32" w:rsidRDefault="00C9665D" w:rsidP="003C2BF7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DD67D6" w:rsidRPr="001C153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>Praha, Dědina – zateplení VUZ - realizace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4C6BAA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ab/>
      </w:r>
      <w:r w:rsidR="00C9665D"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9665D"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C2BF7">
        <w:rPr>
          <w:rFonts w:ascii="Times New Roman" w:hAnsi="Times New Roman" w:cs="Times New Roman"/>
          <w:sz w:val="24"/>
          <w:szCs w:val="24"/>
        </w:rPr>
        <w:t xml:space="preserve">Vojenské ubytovací zařízení </w:t>
      </w:r>
      <w:r w:rsidR="00DD67D6">
        <w:rPr>
          <w:rFonts w:ascii="Times New Roman" w:hAnsi="Times New Roman" w:cs="Times New Roman"/>
          <w:sz w:val="24"/>
          <w:szCs w:val="24"/>
        </w:rPr>
        <w:t>Dědina</w:t>
      </w:r>
      <w:r w:rsidR="003C2BF7" w:rsidRPr="003C2BF7">
        <w:rPr>
          <w:rFonts w:ascii="Times New Roman" w:hAnsi="Times New Roman" w:cs="Times New Roman"/>
          <w:sz w:val="24"/>
          <w:szCs w:val="24"/>
        </w:rPr>
        <w:t xml:space="preserve">, </w:t>
      </w:r>
      <w:r w:rsidR="00DD67D6">
        <w:rPr>
          <w:rFonts w:ascii="Times New Roman" w:hAnsi="Times New Roman" w:cs="Times New Roman"/>
          <w:sz w:val="24"/>
          <w:szCs w:val="24"/>
        </w:rPr>
        <w:t>Pilotů 217, 160 00 Praha 6 Ruzyně</w:t>
      </w:r>
      <w:r w:rsidR="00B21D0D" w:rsidRPr="001C153D">
        <w:rPr>
          <w:rFonts w:ascii="Times New Roman" w:hAnsi="Times New Roman" w:cs="Times New Roman"/>
          <w:sz w:val="24"/>
          <w:szCs w:val="24"/>
        </w:rPr>
        <w:t>.</w:t>
      </w:r>
    </w:p>
    <w:p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</w:t>
      </w:r>
      <w:r w:rsidR="00B21D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>7. 2018 – 31.</w:t>
      </w:r>
      <w:r w:rsidR="00B21D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>1. 2019</w:t>
      </w:r>
      <w:r w:rsidR="00B21D0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9665D" w:rsidRPr="001C153D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hodinovou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>sazbou</w:t>
      </w:r>
      <w:r w:rsidR="00F07EB5"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="001C153D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7EB5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Kč/hod. Tato cena vyplývá ze smlouvy na projektovou dokumentaci č. </w:t>
      </w:r>
      <w:r w:rsidR="0038050A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U-</w:t>
      </w:r>
      <w:r w:rsidR="002F5D58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359</w:t>
      </w:r>
      <w:r w:rsidR="0038050A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-00/17</w:t>
      </w:r>
      <w:r w:rsidR="00F07EB5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2F5D58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11.</w:t>
      </w:r>
      <w:r w:rsidR="00B21D0D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5D58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38050A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. 2017</w:t>
      </w:r>
      <w:r w:rsidR="00F07EB5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166D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965FB9" w:rsidRPr="001C153D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1C153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505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="003A6CA0" w:rsidRPr="001C153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1C153D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1C153D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38050A"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="001C153D"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E5417A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F07EB5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07EB5" w:rsidRPr="00F82F32" w:rsidRDefault="0038050A" w:rsidP="00F82F32">
      <w:pPr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  <w:t xml:space="preserve">     </w:t>
      </w:r>
      <w:r w:rsidRPr="0038050A">
        <w:rPr>
          <w:rFonts w:ascii="Times New Roman" w:eastAsia="Times New Roman" w:hAnsi="Times New Roman" w:cs="Times New Roman"/>
          <w:sz w:val="24"/>
          <w:szCs w:val="20"/>
          <w:lang w:eastAsia="cs-CZ"/>
        </w:rPr>
        <w:t>100 000,00</w:t>
      </w:r>
      <w:r w:rsidR="00F07EB5" w:rsidRPr="003805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3200FF" w:rsidRPr="00F82F32" w:rsidRDefault="003200FF" w:rsidP="00F82F32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1276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 limitu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38050A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C3A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x </w:t>
      </w:r>
      <w:r w:rsidR="00CC3A3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hod.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38050A" w:rsidRPr="002826C5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pravidelné kontrolní dny 1 x týdně, předání staveniště, převzetí stavby a kolaudační řízení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x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38050A" w:rsidRPr="0038050A">
        <w:rPr>
          <w:rFonts w:ascii="Times New Roman" w:eastAsia="Times New Roman" w:hAnsi="Times New Roman" w:cs="Times New Roman"/>
          <w:sz w:val="24"/>
          <w:szCs w:val="20"/>
          <w:lang w:eastAsia="cs-CZ"/>
        </w:rPr>
        <w:t>500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+ </w:t>
      </w:r>
      <w:r w:rsidR="00CC3A3C">
        <w:rPr>
          <w:rFonts w:ascii="Times New Roman" w:eastAsia="Times New Roman" w:hAnsi="Times New Roman" w:cs="Times New Roman"/>
          <w:sz w:val="24"/>
          <w:szCs w:val="24"/>
          <w:lang w:eastAsia="zh-CN"/>
        </w:rPr>
        <w:t>72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hod. x</w:t>
      </w:r>
      <w:r w:rsidR="006E2C00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38050A" w:rsidRPr="0038050A">
        <w:rPr>
          <w:rFonts w:ascii="Times New Roman" w:eastAsia="Times New Roman" w:hAnsi="Times New Roman" w:cs="Times New Roman"/>
          <w:sz w:val="24"/>
          <w:szCs w:val="20"/>
          <w:lang w:eastAsia="cs-CZ"/>
        </w:rPr>
        <w:t>500</w:t>
      </w:r>
      <w:r w:rsidR="003200FF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 w:rsidRPr="00FD3065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(mimo KD) = </w:t>
      </w:r>
      <w:r w:rsidR="003200FF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celkem </w:t>
      </w:r>
      <w:r w:rsidR="0038050A" w:rsidRPr="003805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100 000,00</w:t>
      </w:r>
      <w:r w:rsidR="003200FF" w:rsidRPr="003805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3200FF"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- TDI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4C6B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příkazci vyplácena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prodlení se zaplacením faktury a následná splatnost faktury je 30 dnů od doručení přehledu příkazci.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Lhůta splatnosti je 30 dní od doručení faktury příkazci (originál faktury + 1 kopie včetně výkazu činnosti). Adresa pro zaslání faktury: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příspěvková organizace, Podbabská 1589/1, 160 00 Praha 6 – Dejvice. Faktura za předchozí měsíc musí být vystavena do 10. dne v měsíci </w:t>
      </w:r>
      <w:r w:rsidR="0012464E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12464E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doručena příkazci.</w:t>
      </w:r>
    </w:p>
    <w:p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 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Je-li příkazce v prodlení s úhradou faktur ve lhůtě splatnosti uvedené v čl. IV. odst. 2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343A4">
        <w:rPr>
          <w:rFonts w:ascii="Times New Roman" w:eastAsia="Times New Roman" w:hAnsi="Times New Roman" w:cs="Times New Roman"/>
          <w:sz w:val="24"/>
          <w:szCs w:val="24"/>
          <w:lang w:eastAsia="zh-CN"/>
        </w:rPr>
        <w:t>xxxx</w:t>
      </w:r>
      <w:bookmarkStart w:id="0" w:name="_GoBack"/>
      <w:bookmarkEnd w:id="0"/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P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C9665D" w:rsidRPr="00CD1942" w:rsidRDefault="00CD1942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je vyhotovena ve dvou stejnopisech, každ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platností originálu, z nichž každá 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smluvních stran obdrží po jednom vyhotovení.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 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C9665D" w:rsidRPr="0059441C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Smlouvu lze měnit a doplňovat po dohodě smluvních stran formou písemných dodatků k této smlouvě podepsaných oběma smluvními stranami. Podepsané dodatky se stávají nedílnou součástí této smlouvy. Za písemnou formu nebude pro tento účel považována výměna e-mailových či jiných elektronických zpráv.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 dne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</w:t>
      </w:r>
      <w:r w:rsidR="00B21D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dne</w:t>
      </w:r>
    </w:p>
    <w:p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01E9">
        <w:rPr>
          <w:rFonts w:ascii="Times New Roman" w:eastAsia="Times New Roman" w:hAnsi="Times New Roman" w:cs="Times New Roman"/>
          <w:sz w:val="24"/>
          <w:szCs w:val="24"/>
          <w:lang w:eastAsia="zh-CN"/>
        </w:rPr>
        <w:t>DPU REVIT s.r.o.</w:t>
      </w:r>
    </w:p>
    <w:p w:rsidR="00C9665D" w:rsidRPr="001C153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</w:p>
    <w:p w:rsidR="008A295C" w:rsidRPr="00F82F32" w:rsidRDefault="008B6BA9" w:rsidP="001C153D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sz w:val="24"/>
          <w:szCs w:val="24"/>
        </w:rPr>
      </w:pPr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1C153D" w:rsidRPr="001C153D">
        <w:rPr>
          <w:rFonts w:ascii="Times New Roman" w:hAnsi="Times New Roman" w:cs="Times New Roman"/>
          <w:sz w:val="24"/>
        </w:rPr>
        <w:t>xxxxx</w:t>
      </w:r>
      <w:proofErr w:type="spellEnd"/>
      <w:r w:rsidR="00C9665D" w:rsidRP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</w:t>
      </w:r>
      <w:r w:rsidR="001C15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</w:t>
      </w:r>
    </w:p>
    <w:sectPr w:rsidR="008A295C" w:rsidRPr="00F82F32" w:rsidSect="003B6584">
      <w:headerReference w:type="default" r:id="rId8"/>
      <w:footerReference w:type="default" r:id="rId9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F3" w:rsidRDefault="00F35FF3">
      <w:r>
        <w:separator/>
      </w:r>
    </w:p>
  </w:endnote>
  <w:endnote w:type="continuationSeparator" w:id="0">
    <w:p w:rsidR="00F35FF3" w:rsidRDefault="00F3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7BDA5AE4" wp14:editId="02DDDB29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F3" w:rsidRDefault="00F35FF3">
      <w:r>
        <w:separator/>
      </w:r>
    </w:p>
  </w:footnote>
  <w:footnote w:type="continuationSeparator" w:id="0">
    <w:p w:rsidR="00F35FF3" w:rsidRDefault="00F3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Pr="00C9665D" w:rsidRDefault="001C153D" w:rsidP="001C153D">
    <w:pPr>
      <w:widowControl w:val="0"/>
      <w:suppressAutoHyphens/>
      <w:autoSpaceDE w:val="0"/>
      <w:spacing w:line="100" w:lineRule="atLeast"/>
      <w:ind w:right="96"/>
      <w:jc w:val="right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Příkazní smlouva</w:t>
    </w:r>
    <w:r w:rsidR="004F37A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č. U-</w:t>
    </w:r>
    <w:r w:rsidR="00B21D0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224</w:t>
    </w:r>
    <w:r w:rsidR="004F37A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-00/18</w:t>
    </w:r>
  </w:p>
  <w:p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1"/>
    <w:rsid w:val="00061271"/>
    <w:rsid w:val="000C6240"/>
    <w:rsid w:val="000F24E7"/>
    <w:rsid w:val="0012464E"/>
    <w:rsid w:val="00137195"/>
    <w:rsid w:val="00184584"/>
    <w:rsid w:val="001851F0"/>
    <w:rsid w:val="001C153D"/>
    <w:rsid w:val="002129AB"/>
    <w:rsid w:val="00221480"/>
    <w:rsid w:val="00223C0D"/>
    <w:rsid w:val="00236B2E"/>
    <w:rsid w:val="002A01E9"/>
    <w:rsid w:val="002F5D58"/>
    <w:rsid w:val="00302A29"/>
    <w:rsid w:val="003200FF"/>
    <w:rsid w:val="00363538"/>
    <w:rsid w:val="0038050A"/>
    <w:rsid w:val="003A32B1"/>
    <w:rsid w:val="003A6CA0"/>
    <w:rsid w:val="003C1ECC"/>
    <w:rsid w:val="003C2BF7"/>
    <w:rsid w:val="00421800"/>
    <w:rsid w:val="004A024B"/>
    <w:rsid w:val="004C5ADA"/>
    <w:rsid w:val="004C6BAA"/>
    <w:rsid w:val="004F37A5"/>
    <w:rsid w:val="00515058"/>
    <w:rsid w:val="00575DF9"/>
    <w:rsid w:val="0059441C"/>
    <w:rsid w:val="006548B0"/>
    <w:rsid w:val="006647C5"/>
    <w:rsid w:val="00677F27"/>
    <w:rsid w:val="0068426C"/>
    <w:rsid w:val="006864E4"/>
    <w:rsid w:val="006C295C"/>
    <w:rsid w:val="006E13CB"/>
    <w:rsid w:val="006E2C00"/>
    <w:rsid w:val="00726A88"/>
    <w:rsid w:val="00731573"/>
    <w:rsid w:val="007354D7"/>
    <w:rsid w:val="007A68BF"/>
    <w:rsid w:val="007E31A3"/>
    <w:rsid w:val="00815AF1"/>
    <w:rsid w:val="00844AA2"/>
    <w:rsid w:val="00861477"/>
    <w:rsid w:val="0088030A"/>
    <w:rsid w:val="008A295C"/>
    <w:rsid w:val="008B6BA9"/>
    <w:rsid w:val="008C6192"/>
    <w:rsid w:val="008D7872"/>
    <w:rsid w:val="008E5938"/>
    <w:rsid w:val="00914C85"/>
    <w:rsid w:val="009164AD"/>
    <w:rsid w:val="009343A4"/>
    <w:rsid w:val="00965FB9"/>
    <w:rsid w:val="00966BB7"/>
    <w:rsid w:val="009F7699"/>
    <w:rsid w:val="00A003AD"/>
    <w:rsid w:val="00A06776"/>
    <w:rsid w:val="00A0692A"/>
    <w:rsid w:val="00A42AAC"/>
    <w:rsid w:val="00A5166D"/>
    <w:rsid w:val="00A74BC7"/>
    <w:rsid w:val="00AD3685"/>
    <w:rsid w:val="00B103F1"/>
    <w:rsid w:val="00B21D0D"/>
    <w:rsid w:val="00B52419"/>
    <w:rsid w:val="00B64BEF"/>
    <w:rsid w:val="00B70C03"/>
    <w:rsid w:val="00B95602"/>
    <w:rsid w:val="00C62881"/>
    <w:rsid w:val="00C62A26"/>
    <w:rsid w:val="00C62BD2"/>
    <w:rsid w:val="00C9665D"/>
    <w:rsid w:val="00CC3A3C"/>
    <w:rsid w:val="00CD1942"/>
    <w:rsid w:val="00CE2DE6"/>
    <w:rsid w:val="00CE5335"/>
    <w:rsid w:val="00CF5040"/>
    <w:rsid w:val="00D40E62"/>
    <w:rsid w:val="00D5320B"/>
    <w:rsid w:val="00D60110"/>
    <w:rsid w:val="00D7728B"/>
    <w:rsid w:val="00D92A4E"/>
    <w:rsid w:val="00DC5935"/>
    <w:rsid w:val="00DD67D6"/>
    <w:rsid w:val="00E019E6"/>
    <w:rsid w:val="00E46BD8"/>
    <w:rsid w:val="00E5417A"/>
    <w:rsid w:val="00E74DCC"/>
    <w:rsid w:val="00ED09A1"/>
    <w:rsid w:val="00ED1348"/>
    <w:rsid w:val="00EF423B"/>
    <w:rsid w:val="00F07EB5"/>
    <w:rsid w:val="00F3002C"/>
    <w:rsid w:val="00F35FF3"/>
    <w:rsid w:val="00F471AE"/>
    <w:rsid w:val="00F53CD3"/>
    <w:rsid w:val="00F628BF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1623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KRAUSOVA Lenka</cp:lastModifiedBy>
  <cp:revision>30</cp:revision>
  <cp:lastPrinted>2018-06-27T15:32:00Z</cp:lastPrinted>
  <dcterms:created xsi:type="dcterms:W3CDTF">2017-09-12T06:54:00Z</dcterms:created>
  <dcterms:modified xsi:type="dcterms:W3CDTF">2018-07-12T07:16:00Z</dcterms:modified>
</cp:coreProperties>
</file>