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3E44D36A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F54708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2018-12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48DCFD16" w14:textId="77777777" w:rsidR="00341598" w:rsidRPr="00286F1F" w:rsidRDefault="00341598" w:rsidP="0034159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BE10902" w14:textId="401BD7A4" w:rsidR="00F54708" w:rsidRDefault="00F54708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Změna telekomunikačního operátora – etapa 2018 A</w:t>
      </w:r>
    </w:p>
    <w:p w14:paraId="22CA46A0" w14:textId="1B98F199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F54708">
        <w:rPr>
          <w:rFonts w:ascii="Palatino Linotype" w:hAnsi="Palatino Linotype" w:cs="Tahoma"/>
          <w:b/>
          <w:sz w:val="22"/>
          <w:szCs w:val="28"/>
          <w:lang w:eastAsia="cs-CZ"/>
        </w:rPr>
        <w:t>(ZLR 2018-12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217AC05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0B590EF8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53B93A2B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EB3FD4">
        <w:rPr>
          <w:rFonts w:ascii="Palatino Linotype" w:hAnsi="Palatino Linotype"/>
          <w:sz w:val="22"/>
          <w:szCs w:val="22"/>
          <w:lang w:eastAsia="cs-CZ"/>
        </w:rPr>
        <w:t>na základě plné moci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60C6267F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F54708">
        <w:rPr>
          <w:rFonts w:ascii="Palatino Linotype" w:hAnsi="Palatino Linotype" w:cs="Arial"/>
          <w:sz w:val="22"/>
          <w:szCs w:val="22"/>
        </w:rPr>
        <w:t xml:space="preserve"> 2018-12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C91E4A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C91E4A">
        <w:rPr>
          <w:rFonts w:ascii="Palatino Linotype" w:hAnsi="Palatino Linotype" w:cs="Arial"/>
          <w:sz w:val="22"/>
          <w:szCs w:val="22"/>
        </w:rPr>
        <w:t>j</w:t>
      </w:r>
      <w:r w:rsidR="00C91E4A" w:rsidRPr="00C91E4A">
        <w:rPr>
          <w:rFonts w:ascii="Palatino Linotype" w:hAnsi="Palatino Linotype" w:cs="Arial"/>
          <w:sz w:val="22"/>
          <w:szCs w:val="22"/>
        </w:rPr>
        <w:t>e</w:t>
      </w:r>
      <w:r w:rsidR="008E5B83" w:rsidRPr="00C91E4A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C91E4A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C91E4A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37E3063C" w:rsidR="00C056E8" w:rsidRPr="00A11E4A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A11E4A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A11E4A">
        <w:rPr>
          <w:rFonts w:ascii="Palatino Linotype" w:hAnsi="Palatino Linotype" w:cs="Arial"/>
          <w:sz w:val="22"/>
          <w:szCs w:val="22"/>
        </w:rPr>
        <w:t>č. 1 této P</w:t>
      </w:r>
      <w:r w:rsidRPr="00A11E4A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17343E" w:rsidRPr="00A11E4A">
        <w:rPr>
          <w:rFonts w:ascii="Palatino Linotype" w:hAnsi="Palatino Linotype" w:cs="Arial"/>
          <w:sz w:val="22"/>
          <w:szCs w:val="22"/>
        </w:rPr>
        <w:t>3</w:t>
      </w:r>
      <w:r w:rsidR="00C91E4A" w:rsidRPr="00A11E4A">
        <w:rPr>
          <w:rFonts w:ascii="Palatino Linotype" w:hAnsi="Palatino Linotype" w:cs="Arial"/>
          <w:sz w:val="22"/>
          <w:szCs w:val="22"/>
        </w:rPr>
        <w:t>1</w:t>
      </w:r>
      <w:r w:rsidR="0017343E" w:rsidRPr="00A11E4A">
        <w:rPr>
          <w:rFonts w:ascii="Palatino Linotype" w:hAnsi="Palatino Linotype" w:cs="Arial"/>
          <w:sz w:val="22"/>
          <w:szCs w:val="22"/>
        </w:rPr>
        <w:t>.</w:t>
      </w:r>
      <w:r w:rsidR="00A11E4A" w:rsidRPr="00A11E4A">
        <w:rPr>
          <w:rFonts w:ascii="Palatino Linotype" w:hAnsi="Palatino Linotype" w:cs="Arial"/>
          <w:sz w:val="22"/>
          <w:szCs w:val="22"/>
        </w:rPr>
        <w:t>12</w:t>
      </w:r>
      <w:r w:rsidR="0017343E" w:rsidRPr="00A11E4A">
        <w:rPr>
          <w:rFonts w:ascii="Palatino Linotype" w:hAnsi="Palatino Linotype" w:cs="Arial"/>
          <w:sz w:val="22"/>
          <w:szCs w:val="22"/>
        </w:rPr>
        <w:t>.201</w:t>
      </w:r>
      <w:r w:rsidR="00C91E4A" w:rsidRPr="00A11E4A">
        <w:rPr>
          <w:rFonts w:ascii="Palatino Linotype" w:hAnsi="Palatino Linotype" w:cs="Arial"/>
          <w:sz w:val="22"/>
          <w:szCs w:val="22"/>
        </w:rPr>
        <w:t>8</w:t>
      </w:r>
      <w:proofErr w:type="gramEnd"/>
      <w:r w:rsidR="008E5B83" w:rsidRPr="00A11E4A">
        <w:rPr>
          <w:rFonts w:ascii="Palatino Linotype" w:hAnsi="Palatino Linotype" w:cs="Arial"/>
          <w:sz w:val="22"/>
          <w:szCs w:val="22"/>
        </w:rPr>
        <w:t>.</w:t>
      </w:r>
      <w:r w:rsidRPr="00A11E4A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6B3715D7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</w:t>
      </w:r>
      <w:r w:rsidRPr="000E71EF">
        <w:rPr>
          <w:rFonts w:ascii="Palatino Linotype" w:hAnsi="Palatino Linotype" w:cs="Arial"/>
          <w:sz w:val="22"/>
          <w:szCs w:val="22"/>
        </w:rPr>
        <w:t xml:space="preserve">výši </w:t>
      </w:r>
      <w:r w:rsidR="00993A71" w:rsidRPr="00993A71">
        <w:rPr>
          <w:rFonts w:ascii="Palatino Linotype" w:hAnsi="Palatino Linotype" w:cs="Arial"/>
          <w:sz w:val="22"/>
          <w:szCs w:val="22"/>
        </w:rPr>
        <w:t>928</w:t>
      </w:r>
      <w:r w:rsidR="00F154C7" w:rsidRPr="00993A71">
        <w:rPr>
          <w:rFonts w:ascii="Palatino Linotype" w:hAnsi="Palatino Linotype" w:cs="Arial"/>
          <w:sz w:val="22"/>
          <w:szCs w:val="22"/>
        </w:rPr>
        <w:t>.</w:t>
      </w:r>
      <w:r w:rsidR="00993A71" w:rsidRPr="00993A71">
        <w:rPr>
          <w:rFonts w:ascii="Palatino Linotype" w:hAnsi="Palatino Linotype" w:cs="Arial"/>
          <w:sz w:val="22"/>
          <w:szCs w:val="22"/>
        </w:rPr>
        <w:t>7</w:t>
      </w:r>
      <w:r w:rsidR="000E71EF" w:rsidRPr="00993A71">
        <w:rPr>
          <w:rFonts w:ascii="Palatino Linotype" w:hAnsi="Palatino Linotype" w:cs="Arial"/>
          <w:sz w:val="22"/>
          <w:szCs w:val="22"/>
        </w:rPr>
        <w:t>00,-</w:t>
      </w:r>
      <w:r w:rsidR="00C056E8" w:rsidRPr="00993A71">
        <w:rPr>
          <w:rFonts w:ascii="Palatino Linotype" w:hAnsi="Palatino Linotype" w:cs="Arial"/>
          <w:sz w:val="22"/>
          <w:szCs w:val="22"/>
        </w:rPr>
        <w:t xml:space="preserve"> </w:t>
      </w:r>
      <w:r w:rsidRPr="00993A71">
        <w:rPr>
          <w:rFonts w:ascii="Palatino Linotype" w:hAnsi="Palatino Linotype" w:cs="Arial"/>
          <w:sz w:val="22"/>
          <w:szCs w:val="22"/>
        </w:rPr>
        <w:t xml:space="preserve">Kč </w:t>
      </w:r>
      <w:r w:rsidRPr="00F154C7">
        <w:rPr>
          <w:rFonts w:ascii="Palatino Linotype" w:hAnsi="Palatino Linotype" w:cs="Arial"/>
          <w:sz w:val="22"/>
          <w:szCs w:val="22"/>
        </w:rPr>
        <w:t xml:space="preserve">(slovy: </w:t>
      </w:r>
      <w:r w:rsidR="00993A71">
        <w:rPr>
          <w:rFonts w:ascii="Palatino Linotype" w:hAnsi="Palatino Linotype" w:cs="Arial"/>
          <w:sz w:val="22"/>
          <w:szCs w:val="22"/>
        </w:rPr>
        <w:t>devět</w:t>
      </w:r>
      <w:r w:rsidR="00EB3FD4">
        <w:rPr>
          <w:rFonts w:ascii="Palatino Linotype" w:hAnsi="Palatino Linotype" w:cs="Arial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z w:val="22"/>
          <w:szCs w:val="22"/>
        </w:rPr>
        <w:t>set</w:t>
      </w:r>
      <w:r w:rsidR="00EB3FD4">
        <w:rPr>
          <w:rFonts w:ascii="Palatino Linotype" w:hAnsi="Palatino Linotype" w:cs="Arial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z w:val="22"/>
          <w:szCs w:val="22"/>
        </w:rPr>
        <w:t>dvacet</w:t>
      </w:r>
      <w:r w:rsidR="00EB3FD4">
        <w:rPr>
          <w:rFonts w:ascii="Palatino Linotype" w:hAnsi="Palatino Linotype" w:cs="Arial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z w:val="22"/>
          <w:szCs w:val="22"/>
        </w:rPr>
        <w:t>osm</w:t>
      </w:r>
      <w:r w:rsidR="00EB3FD4">
        <w:rPr>
          <w:rFonts w:ascii="Palatino Linotype" w:hAnsi="Palatino Linotype" w:cs="Arial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z w:val="22"/>
          <w:szCs w:val="22"/>
        </w:rPr>
        <w:t>tisíc</w:t>
      </w:r>
      <w:r w:rsidR="00EB3FD4">
        <w:rPr>
          <w:rFonts w:ascii="Palatino Linotype" w:hAnsi="Palatino Linotype" w:cs="Arial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z w:val="22"/>
          <w:szCs w:val="22"/>
        </w:rPr>
        <w:t>sedm</w:t>
      </w:r>
      <w:r w:rsidR="00EB3FD4">
        <w:rPr>
          <w:rFonts w:ascii="Palatino Linotype" w:hAnsi="Palatino Linotype" w:cs="Arial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z w:val="22"/>
          <w:szCs w:val="22"/>
        </w:rPr>
        <w:t>set</w:t>
      </w:r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993A71">
        <w:rPr>
          <w:rFonts w:ascii="Palatino Linotype" w:hAnsi="Palatino Linotype" w:cs="Arial"/>
          <w:spacing w:val="-15"/>
          <w:sz w:val="22"/>
          <w:szCs w:val="22"/>
        </w:rPr>
        <w:t>1</w:t>
      </w:r>
      <w:r w:rsidR="00F154C7" w:rsidRPr="00F154C7">
        <w:rPr>
          <w:rFonts w:ascii="Palatino Linotype" w:hAnsi="Palatino Linotype" w:cs="Arial"/>
          <w:spacing w:val="-15"/>
          <w:sz w:val="22"/>
          <w:szCs w:val="22"/>
        </w:rPr>
        <w:t>.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123</w:t>
      </w:r>
      <w:r w:rsidR="00F154C7" w:rsidRPr="00F154C7">
        <w:rPr>
          <w:rFonts w:ascii="Palatino Linotype" w:hAnsi="Palatino Linotype" w:cs="Arial"/>
          <w:spacing w:val="-15"/>
          <w:sz w:val="22"/>
          <w:szCs w:val="22"/>
        </w:rPr>
        <w:t>.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72</w:t>
      </w:r>
      <w:r w:rsidR="00993A71">
        <w:rPr>
          <w:rFonts w:ascii="Palatino Linotype" w:hAnsi="Palatino Linotype" w:cs="Arial"/>
          <w:spacing w:val="-15"/>
          <w:sz w:val="22"/>
          <w:szCs w:val="22"/>
        </w:rPr>
        <w:t>7</w:t>
      </w:r>
      <w:r w:rsidR="009E7028" w:rsidRPr="00F154C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pacing w:val="-15"/>
          <w:sz w:val="22"/>
          <w:szCs w:val="22"/>
        </w:rPr>
        <w:t>jeden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pacing w:val="-15"/>
          <w:sz w:val="22"/>
          <w:szCs w:val="22"/>
        </w:rPr>
        <w:t>milion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jedno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sto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dvacet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tři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pacing w:val="-15"/>
          <w:sz w:val="22"/>
          <w:szCs w:val="22"/>
        </w:rPr>
        <w:t>tisíc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sedm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set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4F2F3E">
        <w:rPr>
          <w:rFonts w:ascii="Palatino Linotype" w:hAnsi="Palatino Linotype" w:cs="Arial"/>
          <w:spacing w:val="-15"/>
          <w:sz w:val="22"/>
          <w:szCs w:val="22"/>
        </w:rPr>
        <w:t>dvacet</w:t>
      </w:r>
      <w:r w:rsidR="00EB3FD4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993A71">
        <w:rPr>
          <w:rFonts w:ascii="Palatino Linotype" w:hAnsi="Palatino Linotype" w:cs="Arial"/>
          <w:spacing w:val="-15"/>
          <w:sz w:val="22"/>
          <w:szCs w:val="22"/>
        </w:rPr>
        <w:t>sedm</w:t>
      </w:r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</w:t>
      </w:r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lastRenderedPageBreak/>
        <w:t>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247BD25D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222D10" w:rsidRPr="00440981">
        <w:rPr>
          <w:rFonts w:ascii="Palatino Linotype" w:hAnsi="Palatino Linotype" w:cs="Arial"/>
          <w:sz w:val="22"/>
          <w:szCs w:val="22"/>
        </w:rPr>
        <w:t>(e-mail:)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 xml:space="preserve">je </w:t>
      </w:r>
      <w:r w:rsidR="00222D10" w:rsidRPr="00440981">
        <w:rPr>
          <w:rFonts w:ascii="Palatino Linotype" w:hAnsi="Palatino Linotype" w:cs="Arial"/>
          <w:sz w:val="22"/>
          <w:szCs w:val="22"/>
        </w:rPr>
        <w:t>(e-mail:)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</w:t>
      </w:r>
      <w:r>
        <w:rPr>
          <w:rFonts w:ascii="Palatino Linotype" w:hAnsi="Palatino Linotype" w:cs="Arial"/>
          <w:sz w:val="22"/>
          <w:szCs w:val="22"/>
        </w:rPr>
        <w:lastRenderedPageBreak/>
        <w:t xml:space="preserve">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2F3C24AF" w14:textId="58A8789A" w:rsidR="00881871" w:rsidRPr="00881871" w:rsidRDefault="00EB3FD4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Na základě plné moci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  <w:bookmarkStart w:id="6" w:name="_GoBack"/>
      <w:bookmarkEnd w:id="6"/>
    </w:p>
    <w:sectPr w:rsidR="0061191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E0AE0" w14:textId="77777777" w:rsidR="0059719D" w:rsidRDefault="0059719D" w:rsidP="00312D44">
      <w:pPr>
        <w:spacing w:line="240" w:lineRule="auto"/>
      </w:pPr>
      <w:r>
        <w:separator/>
      </w:r>
    </w:p>
  </w:endnote>
  <w:endnote w:type="continuationSeparator" w:id="0">
    <w:p w14:paraId="312A1334" w14:textId="77777777" w:rsidR="0059719D" w:rsidRDefault="0059719D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6F693551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61E81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61E81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4A83643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61E81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61E81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61D7" w14:textId="77777777" w:rsidR="0059719D" w:rsidRDefault="0059719D" w:rsidP="00312D44">
      <w:pPr>
        <w:spacing w:line="240" w:lineRule="auto"/>
      </w:pPr>
      <w:r>
        <w:separator/>
      </w:r>
    </w:p>
  </w:footnote>
  <w:footnote w:type="continuationSeparator" w:id="0">
    <w:p w14:paraId="334A67A3" w14:textId="77777777" w:rsidR="0059719D" w:rsidRDefault="0059719D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C8E17CE" w:rsidR="00467F1D" w:rsidRPr="00611E2F" w:rsidRDefault="00F54708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ANECT/MPSV/1812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E80F79">
      <w:rPr>
        <w:rFonts w:ascii="Arial" w:hAnsi="Arial" w:cs="Arial"/>
        <w:szCs w:val="16"/>
      </w:rPr>
      <w:t>3200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MPSV1.18.0285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057140D"/>
    <w:multiLevelType w:val="hybridMultilevel"/>
    <w:tmpl w:val="E092DBAE"/>
    <w:lvl w:ilvl="0" w:tplc="9C5ABC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2" w15:restartNumberingAfterBreak="0">
    <w:nsid w:val="7B37415E"/>
    <w:multiLevelType w:val="hybridMultilevel"/>
    <w:tmpl w:val="823821E4"/>
    <w:lvl w:ilvl="0" w:tplc="11E04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1"/>
  </w:num>
  <w:num w:numId="5">
    <w:abstractNumId w:val="8"/>
  </w:num>
  <w:num w:numId="6">
    <w:abstractNumId w:val="20"/>
  </w:num>
  <w:num w:numId="7">
    <w:abstractNumId w:val="11"/>
  </w:num>
  <w:num w:numId="8">
    <w:abstractNumId w:val="3"/>
  </w:num>
  <w:num w:numId="9">
    <w:abstractNumId w:val="16"/>
  </w:num>
  <w:num w:numId="10">
    <w:abstractNumId w:val="19"/>
  </w:num>
  <w:num w:numId="11">
    <w:abstractNumId w:val="18"/>
  </w:num>
  <w:num w:numId="12">
    <w:abstractNumId w:val="2"/>
  </w:num>
  <w:num w:numId="13">
    <w:abstractNumId w:val="14"/>
  </w:num>
  <w:num w:numId="14">
    <w:abstractNumId w:val="12"/>
  </w:num>
  <w:num w:numId="15">
    <w:abstractNumId w:val="15"/>
  </w:num>
  <w:num w:numId="16">
    <w:abstractNumId w:val="17"/>
  </w:num>
  <w:num w:numId="17">
    <w:abstractNumId w:val="23"/>
  </w:num>
  <w:num w:numId="18">
    <w:abstractNumId w:val="7"/>
  </w:num>
  <w:num w:numId="19">
    <w:abstractNumId w:val="5"/>
  </w:num>
  <w:num w:numId="20">
    <w:abstractNumId w:val="0"/>
  </w:num>
  <w:num w:numId="21">
    <w:abstractNumId w:val="13"/>
  </w:num>
  <w:num w:numId="22">
    <w:abstractNumId w:val="1"/>
  </w:num>
  <w:num w:numId="23">
    <w:abstractNumId w:val="24"/>
  </w:num>
  <w:num w:numId="24">
    <w:abstractNumId w:val="4"/>
  </w:num>
  <w:num w:numId="2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0F7F00"/>
    <w:rsid w:val="00107C8B"/>
    <w:rsid w:val="00116327"/>
    <w:rsid w:val="00127F22"/>
    <w:rsid w:val="00141CCB"/>
    <w:rsid w:val="00161E81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1FC6"/>
    <w:rsid w:val="00222D10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D289B"/>
    <w:rsid w:val="004F2F3E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D6E20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E7375"/>
    <w:rsid w:val="007F04D5"/>
    <w:rsid w:val="007F155A"/>
    <w:rsid w:val="007F4216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93A71"/>
    <w:rsid w:val="009A6185"/>
    <w:rsid w:val="009C09C6"/>
    <w:rsid w:val="009E5990"/>
    <w:rsid w:val="009E7028"/>
    <w:rsid w:val="009F2AC4"/>
    <w:rsid w:val="00A04809"/>
    <w:rsid w:val="00A06E5D"/>
    <w:rsid w:val="00A11E4A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93A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F6379"/>
    <w:rsid w:val="00E04D6A"/>
    <w:rsid w:val="00E35499"/>
    <w:rsid w:val="00E535BC"/>
    <w:rsid w:val="00E80F79"/>
    <w:rsid w:val="00E862B2"/>
    <w:rsid w:val="00E90515"/>
    <w:rsid w:val="00EA08C4"/>
    <w:rsid w:val="00EA5768"/>
    <w:rsid w:val="00EB3FD4"/>
    <w:rsid w:val="00EC7F2F"/>
    <w:rsid w:val="00ED41B4"/>
    <w:rsid w:val="00ED795E"/>
    <w:rsid w:val="00F02E46"/>
    <w:rsid w:val="00F154C7"/>
    <w:rsid w:val="00F1678F"/>
    <w:rsid w:val="00F23F0D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6628-1C73-4B80-A1C6-98D750AB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1644</Words>
  <Characters>9704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4</cp:revision>
  <cp:lastPrinted>2018-06-12T15:03:00Z</cp:lastPrinted>
  <dcterms:created xsi:type="dcterms:W3CDTF">2018-06-12T14:55:00Z</dcterms:created>
  <dcterms:modified xsi:type="dcterms:W3CDTF">2018-07-11T12:18:00Z</dcterms:modified>
</cp:coreProperties>
</file>