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F7" w:rsidRDefault="0058442E">
      <w:pPr>
        <w:pStyle w:val="Nadpis10"/>
        <w:keepNext/>
        <w:keepLines/>
        <w:shd w:val="clear" w:color="auto" w:fill="auto"/>
      </w:pPr>
      <w:bookmarkStart w:id="0" w:name="bookmark0"/>
      <w:proofErr w:type="spellStart"/>
      <w:r>
        <w:rPr>
          <w:lang w:val="en-US" w:eastAsia="en-US" w:bidi="en-US"/>
        </w:rPr>
        <w:t>Krajska</w:t>
      </w:r>
      <w:proofErr w:type="spellEnd"/>
      <w:r>
        <w:rPr>
          <w:lang w:val="en-US" w:eastAsia="en-US" w:bidi="en-US"/>
        </w:rPr>
        <w:t xml:space="preserve"> </w:t>
      </w:r>
      <w:r>
        <w:t xml:space="preserve">hygienická stanice </w:t>
      </w:r>
      <w:proofErr w:type="spellStart"/>
      <w:r>
        <w:t>Moravskoslezskýhokraje</w:t>
      </w:r>
      <w:bookmarkEnd w:id="0"/>
      <w:proofErr w:type="spellEnd"/>
    </w:p>
    <w:p w:rsidR="003F2AF7" w:rsidRDefault="0058442E" w:rsidP="00D506E5">
      <w:pPr>
        <w:pStyle w:val="Zkladntext30"/>
        <w:shd w:val="clear" w:color="auto" w:fill="auto"/>
      </w:pPr>
      <w:r>
        <w:rPr>
          <w:rFonts w:ascii="Arial" w:eastAsia="Arial" w:hAnsi="Arial" w:cs="Arial"/>
          <w:i w:val="0"/>
          <w:iCs w:val="0"/>
          <w:sz w:val="30"/>
          <w:szCs w:val="30"/>
        </w:rPr>
        <w:t xml:space="preserve">se sídlem v Ostravě </w:t>
      </w:r>
    </w:p>
    <w:p w:rsidR="003F2AF7" w:rsidRPr="00CF6548" w:rsidRDefault="0058442E" w:rsidP="00CF6548">
      <w:pPr>
        <w:pStyle w:val="Zkladntext1"/>
        <w:shd w:val="clear" w:color="auto" w:fill="auto"/>
        <w:tabs>
          <w:tab w:val="left" w:pos="7576"/>
        </w:tabs>
        <w:spacing w:after="0" w:line="240" w:lineRule="auto"/>
        <w:ind w:left="3260"/>
        <w:rPr>
          <w:sz w:val="22"/>
          <w:szCs w:val="22"/>
        </w:rPr>
        <w:sectPr w:rsidR="003F2AF7" w:rsidRPr="00CF6548">
          <w:footerReference w:type="default" r:id="rId6"/>
          <w:footerReference w:type="first" r:id="rId7"/>
          <w:pgSz w:w="11900" w:h="16840"/>
          <w:pgMar w:top="1012" w:right="904" w:bottom="1695" w:left="109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sz w:val="22"/>
          <w:szCs w:val="22"/>
        </w:rPr>
        <w:t>NA BELIDLE 7, 702 00 OSTRAVA</w:t>
      </w:r>
      <w:r>
        <w:rPr>
          <w:sz w:val="22"/>
          <w:szCs w:val="22"/>
        </w:rPr>
        <w:tab/>
      </w:r>
    </w:p>
    <w:p w:rsidR="003F2AF7" w:rsidRDefault="003F2AF7">
      <w:pPr>
        <w:spacing w:line="162" w:lineRule="exact"/>
        <w:rPr>
          <w:sz w:val="13"/>
          <w:szCs w:val="13"/>
        </w:rPr>
      </w:pPr>
    </w:p>
    <w:p w:rsidR="003F2AF7" w:rsidRDefault="003F2AF7">
      <w:pPr>
        <w:spacing w:line="14" w:lineRule="exact"/>
        <w:sectPr w:rsidR="003F2AF7">
          <w:type w:val="continuous"/>
          <w:pgSz w:w="11900" w:h="16840"/>
          <w:pgMar w:top="1012" w:right="0" w:bottom="169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2633"/>
      </w:tblGrid>
      <w:tr w:rsidR="003F2AF7" w:rsidTr="00D506E5">
        <w:trPr>
          <w:trHeight w:hRule="exact" w:val="1725"/>
          <w:jc w:val="center"/>
        </w:trPr>
        <w:tc>
          <w:tcPr>
            <w:tcW w:w="1717" w:type="dxa"/>
            <w:shd w:val="clear" w:color="auto" w:fill="FFFFFF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VÁŠ DOPIS ZN.: ZE DNE:</w:t>
            </w:r>
          </w:p>
          <w:p w:rsidR="00D506E5" w:rsidRDefault="00D506E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</w:p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SPIS, ZNAČKA: ČÍSLO JEDNACÍ: VYŘIZUJE:</w:t>
            </w:r>
          </w:p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TEL.:</w:t>
            </w:r>
          </w:p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</w:t>
            </w:r>
          </w:p>
        </w:tc>
        <w:tc>
          <w:tcPr>
            <w:tcW w:w="2633" w:type="dxa"/>
            <w:shd w:val="clear" w:color="auto" w:fill="FFFFFF"/>
            <w:vAlign w:val="bottom"/>
          </w:tcPr>
          <w:p w:rsidR="003F2AF7" w:rsidRDefault="00CF6548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XXXXXXXX</w:t>
            </w:r>
          </w:p>
        </w:tc>
      </w:tr>
    </w:tbl>
    <w:p w:rsidR="003F2AF7" w:rsidRDefault="00CF6548">
      <w:pPr>
        <w:pStyle w:val="Zkladntext1"/>
        <w:shd w:val="clear" w:color="auto" w:fill="auto"/>
        <w:spacing w:after="0" w:line="259" w:lineRule="auto"/>
        <w:ind w:left="200" w:right="1420"/>
        <w:jc w:val="left"/>
        <w:sectPr w:rsidR="003F2AF7">
          <w:type w:val="continuous"/>
          <w:pgSz w:w="11900" w:h="16840"/>
          <w:pgMar w:top="1012" w:right="904" w:bottom="1695" w:left="1193" w:header="0" w:footer="3" w:gutter="0"/>
          <w:cols w:num="2" w:sep="1" w:space="767"/>
          <w:noEndnote/>
          <w:docGrid w:linePitch="360"/>
        </w:sectPr>
      </w:pPr>
      <w:r>
        <w:t>XXXXXXXXXXXXXX</w:t>
      </w:r>
    </w:p>
    <w:p w:rsidR="003F2AF7" w:rsidRPr="00D506E5" w:rsidRDefault="00D506E5" w:rsidP="00D506E5">
      <w:pPr>
        <w:tabs>
          <w:tab w:val="left" w:pos="1425"/>
        </w:tabs>
        <w:spacing w:line="211" w:lineRule="exact"/>
      </w:pPr>
      <w:r>
        <w:rPr>
          <w:sz w:val="17"/>
          <w:szCs w:val="17"/>
        </w:rPr>
        <w:tab/>
      </w:r>
      <w:r w:rsidRPr="00D506E5">
        <w:t>DATUM: 10. 5. 2018</w:t>
      </w:r>
    </w:p>
    <w:p w:rsidR="003F2AF7" w:rsidRDefault="00D506E5" w:rsidP="00D506E5">
      <w:pPr>
        <w:tabs>
          <w:tab w:val="left" w:pos="1425"/>
        </w:tabs>
        <w:spacing w:line="14" w:lineRule="exact"/>
        <w:sectPr w:rsidR="003F2AF7">
          <w:type w:val="continuous"/>
          <w:pgSz w:w="11900" w:h="16840"/>
          <w:pgMar w:top="954" w:right="0" w:bottom="1534" w:left="0" w:header="0" w:footer="3" w:gutter="0"/>
          <w:cols w:space="720"/>
          <w:noEndnote/>
          <w:docGrid w:linePitch="360"/>
        </w:sectPr>
      </w:pPr>
      <w:r>
        <w:tab/>
      </w:r>
    </w:p>
    <w:p w:rsidR="003F2AF7" w:rsidRDefault="0058442E">
      <w:pPr>
        <w:pStyle w:val="Nadpis20"/>
        <w:keepNext/>
        <w:keepLines/>
        <w:shd w:val="clear" w:color="auto" w:fill="auto"/>
      </w:pPr>
      <w:bookmarkStart w:id="1" w:name="bookmark2"/>
      <w:r>
        <w:t>ROZHODNUTÍ</w:t>
      </w:r>
      <w:bookmarkEnd w:id="1"/>
    </w:p>
    <w:p w:rsidR="003F2AF7" w:rsidRDefault="0058442E">
      <w:pPr>
        <w:pStyle w:val="Zkladntext1"/>
        <w:shd w:val="clear" w:color="auto" w:fill="auto"/>
        <w:ind w:right="180"/>
      </w:pPr>
      <w:r>
        <w:t>Krajská hygienická stanice Moravskoslezského kraje se sídlem v Ostravě jako věcně i místně příslušný orgán ochrany veřejného zdraví (dále jen „KHSMS“), podle § 82 odst. 1 a odst. 2 písm. a) a c) zákona č. 258/2000 Sb., o ochraně veřejného zdraví a o změně některých souvisejících zákonů, ve znění pozdějších předpisů (dá</w:t>
      </w:r>
      <w:r w:rsidR="00D506E5">
        <w:t xml:space="preserve">le jen „zákon č. 258/2000 </w:t>
      </w:r>
      <w:proofErr w:type="gramStart"/>
      <w:r w:rsidR="00D506E5">
        <w:t xml:space="preserve">Sb., </w:t>
      </w:r>
      <w:r>
        <w:t xml:space="preserve"> rozhodla</w:t>
      </w:r>
      <w:proofErr w:type="gramEnd"/>
      <w:r>
        <w:t xml:space="preserve"> na základě žádosti společnosti Náš svět, příspěvková organizace, se sídlem 739 11 Pržno 239, IČ 00847046 (dále jen „zaměstnavatel“), v řízení podle § 101 písm. e) zákona č. 500/2004 Sb., správní řád, ve znění pozdějších předpisů (zákon č. 500/2004 Sb.), ve spojení s § 37 odst. 1 a 2 zákona ě. 258/2000 Sb. takto:</w:t>
      </w:r>
    </w:p>
    <w:p w:rsidR="003F2AF7" w:rsidRDefault="0058442E">
      <w:pPr>
        <w:pStyle w:val="Zkladntext1"/>
        <w:shd w:val="clear" w:color="auto" w:fill="auto"/>
        <w:spacing w:line="240" w:lineRule="auto"/>
        <w:ind w:right="180"/>
      </w:pPr>
      <w:r>
        <w:t xml:space="preserve">U zaměstnavatele se podle § 37 odst. 1 a 2 zákona ě. 258/2000 Sb. ve spojení s příslušnými ustanoveními vyhlášky č. 432/2003 Sb.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ve znění pozdějších předpisů (dále jen </w:t>
      </w:r>
      <w:proofErr w:type="spellStart"/>
      <w:r>
        <w:t>vyhl</w:t>
      </w:r>
      <w:proofErr w:type="spellEnd"/>
      <w:r>
        <w:t>. č. 432/2003 Sb.“),</w:t>
      </w:r>
    </w:p>
    <w:p w:rsidR="003F2AF7" w:rsidRDefault="0058442E">
      <w:pPr>
        <w:pStyle w:val="Nadpis30"/>
        <w:keepNext/>
        <w:keepLines/>
        <w:shd w:val="clear" w:color="auto" w:fill="auto"/>
      </w:pPr>
      <w:bookmarkStart w:id="2" w:name="bookmark3"/>
      <w:r>
        <w:t>zařazuje</w:t>
      </w:r>
      <w:bookmarkEnd w:id="2"/>
    </w:p>
    <w:p w:rsidR="003F2AF7" w:rsidRDefault="0058442E">
      <w:pPr>
        <w:pStyle w:val="Zkladntext1"/>
        <w:shd w:val="clear" w:color="auto" w:fill="auto"/>
        <w:spacing w:line="240" w:lineRule="auto"/>
        <w:ind w:right="180"/>
      </w:pPr>
      <w:r>
        <w:t>práce, které jsou vykonávány na pracovišti společnosti Náš svět, příspěvková organizace, se sídlem 739 11 Pržno 239,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6"/>
        <w:gridCol w:w="4270"/>
      </w:tblGrid>
      <w:tr w:rsidR="003F2AF7">
        <w:trPr>
          <w:trHeight w:hRule="exact" w:val="317"/>
          <w:jc w:val="center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Název práce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Výsledná kategorie práce</w:t>
            </w:r>
          </w:p>
        </w:tc>
      </w:tr>
      <w:tr w:rsidR="003F2AF7">
        <w:trPr>
          <w:trHeight w:hRule="exact" w:val="281"/>
          <w:jc w:val="center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pracovník v sociálních službách - přímá péče (ženy)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kategorie třetí</w:t>
            </w:r>
          </w:p>
        </w:tc>
      </w:tr>
    </w:tbl>
    <w:p w:rsidR="003F2AF7" w:rsidRDefault="003F2AF7">
      <w:pPr>
        <w:spacing w:after="226" w:line="14" w:lineRule="exact"/>
      </w:pPr>
    </w:p>
    <w:p w:rsidR="003F2AF7" w:rsidRDefault="0058442E">
      <w:pPr>
        <w:pStyle w:val="Zkladntext1"/>
        <w:shd w:val="clear" w:color="auto" w:fill="auto"/>
        <w:spacing w:line="240" w:lineRule="auto"/>
      </w:pPr>
      <w:r>
        <w:rPr>
          <w:b/>
          <w:bCs/>
        </w:rPr>
        <w:t>Odůvodnění:</w:t>
      </w:r>
    </w:p>
    <w:p w:rsidR="003F2AF7" w:rsidRDefault="0058442E">
      <w:pPr>
        <w:pStyle w:val="Zkladntext1"/>
        <w:shd w:val="clear" w:color="auto" w:fill="auto"/>
        <w:spacing w:line="240" w:lineRule="auto"/>
        <w:ind w:right="180"/>
      </w:pPr>
      <w:r>
        <w:t xml:space="preserve">Zaměstnavatel předložil KHSMS dne 218432018 aktualizaci kategorizace prací zaměstnanců zařazených na pracovní pozici „pracovník v sociálních službách - přímá péče“, která je vykonávána na pracovišti společnosti Náš svět, příspěvková organizace, se sídlem 739 11 Pržno 239. Náplň činnosti prací, které jsou vykonávány na pracovištích zaměstnavatele </w:t>
      </w:r>
      <w:proofErr w:type="gramStart"/>
      <w:r>
        <w:t>je</w:t>
      </w:r>
      <w:proofErr w:type="gramEnd"/>
      <w:r>
        <w:t xml:space="preserve"> poskytování služeb sociální péče pro osoby se zdravotním a mentálním postižením.</w:t>
      </w:r>
    </w:p>
    <w:p w:rsidR="003F2AF7" w:rsidRDefault="0058442E">
      <w:pPr>
        <w:pStyle w:val="Zkladntext1"/>
        <w:shd w:val="clear" w:color="auto" w:fill="auto"/>
        <w:spacing w:line="240" w:lineRule="auto"/>
      </w:pPr>
      <w:r>
        <w:t>Současně s kategorizací prací zaměstnavatel doložil:</w:t>
      </w:r>
    </w:p>
    <w:p w:rsidR="003F2AF7" w:rsidRDefault="0058442E">
      <w:pPr>
        <w:pStyle w:val="Zkladntext1"/>
        <w:shd w:val="clear" w:color="auto" w:fill="auto"/>
        <w:tabs>
          <w:tab w:val="left" w:pos="7225"/>
        </w:tabs>
        <w:spacing w:after="0"/>
        <w:jc w:val="left"/>
        <w:rPr>
          <w:sz w:val="17"/>
          <w:szCs w:val="17"/>
        </w:rPr>
      </w:pPr>
      <w:r>
        <w:t xml:space="preserve">- Protokol o autorizovaném posouzení ergonomie pracovního místa, č. 5/PP/2018-OV, ze dne </w:t>
      </w:r>
      <w:r w:rsidR="00D506E5">
        <w:t>31. 1. 2018</w:t>
      </w:r>
      <w:r>
        <w:t xml:space="preserve">, který zpracoval Zdravotní ústav se sídlem v Ostravě, Partyzánské náměstí 7, 702 00 Ostrava. Dle výsledků uvedených v předloženém „Protokolu o autorizovaném posouzení ergonomie pracovního místa, č. 5/PP/2018-OV“ bylo </w:t>
      </w:r>
      <w:r>
        <w:rPr>
          <w:sz w:val="17"/>
          <w:szCs w:val="17"/>
        </w:rPr>
        <w:t>IČ: 71009167</w:t>
      </w:r>
      <w:r>
        <w:rPr>
          <w:sz w:val="17"/>
          <w:szCs w:val="17"/>
        </w:rPr>
        <w:tab/>
        <w:t>Úřední hodiny:</w:t>
      </w:r>
    </w:p>
    <w:p w:rsidR="003F2AF7" w:rsidRDefault="0058442E">
      <w:pPr>
        <w:pStyle w:val="Zkladntext20"/>
        <w:shd w:val="clear" w:color="auto" w:fill="auto"/>
        <w:tabs>
          <w:tab w:val="left" w:pos="7378"/>
        </w:tabs>
        <w:spacing w:after="0" w:line="240" w:lineRule="auto"/>
        <w:ind w:left="160"/>
      </w:pPr>
      <w:r>
        <w:t>ID datové schránky: w8pai4f</w:t>
      </w:r>
      <w:r>
        <w:tab/>
        <w:t>pondělí, středa 8:00 - 17:00</w:t>
      </w:r>
    </w:p>
    <w:p w:rsidR="003F2AF7" w:rsidRDefault="0058442E">
      <w:pPr>
        <w:pStyle w:val="Zkladntext20"/>
        <w:shd w:val="clear" w:color="auto" w:fill="auto"/>
        <w:spacing w:after="240" w:line="233" w:lineRule="auto"/>
        <w:ind w:left="160"/>
      </w:pPr>
      <w:r>
        <w:t xml:space="preserve">web: </w:t>
      </w:r>
      <w:hyperlink r:id="rId8" w:history="1">
        <w:r>
          <w:rPr>
            <w:lang w:val="en-US" w:eastAsia="en-US" w:bidi="en-US"/>
          </w:rPr>
          <w:t>www.khsova.cz</w:t>
        </w:r>
      </w:hyperlink>
    </w:p>
    <w:p w:rsidR="003F2AF7" w:rsidRDefault="0058442E">
      <w:pPr>
        <w:pStyle w:val="Zkladntext20"/>
        <w:shd w:val="clear" w:color="auto" w:fill="auto"/>
        <w:spacing w:after="240"/>
      </w:pPr>
      <w:r>
        <w:t xml:space="preserve">Strana 2 (celkem 3) strana rozhodnutí Krajské hygienické stanice Moravskoslezského kraje se sídlem v Ostravě </w:t>
      </w:r>
      <w:proofErr w:type="gramStart"/>
      <w:r>
        <w:t>č.j.</w:t>
      </w:r>
      <w:proofErr w:type="gramEnd"/>
      <w:r>
        <w:t xml:space="preserve"> KHSMS 24269/2018/FM/HP ze dne 10,5.2018</w:t>
      </w:r>
    </w:p>
    <w:p w:rsidR="003F2AF7" w:rsidRDefault="0058442E">
      <w:pPr>
        <w:pStyle w:val="Zkladntext1"/>
        <w:shd w:val="clear" w:color="auto" w:fill="auto"/>
        <w:spacing w:line="254" w:lineRule="auto"/>
      </w:pPr>
      <w:r>
        <w:t xml:space="preserve">zjištěno, že při provádění prací docházelo k opakovaným dynamickým nepřijatelným pracovním polohám trupu. Celková doba práce v nepřijatelné pracovní poloze činila v hodnocené směně v průměru 63 minut. Dále bylo zjištěno, že při provádění práce docházelo k opakovaným dynamickým nepřijatelným pracovním polohám pravé horní končetiny. Celková doba práce v nepřijatelné pracovní poloze činila v hodnocené směně v průměru 41 minut. Průměrný hygienický limit pro dobu práce v jednotlivých nepřijatelných pracovních polohách v průměrné směně byl překročen. Z hlediska kategorizace odpovídá </w:t>
      </w:r>
      <w:r>
        <w:lastRenderedPageBreak/>
        <w:t xml:space="preserve">zařazení práce „pracovník v sociálních službách - přímá péče (ženy)“ dle vyhlášky Č. 432/2003 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ve znění pozdějších předpisů (dále jen „vyhláška č. 432/2003 Sb.“), do třetí kategorie rizikové pro faktor pracovní poloha. Zařazení práce „pracovník v sociálních službách - přímá péče“, která je vykonávána muži, zůstává i nadále ve druhé kategorii pro faktor pracovní poloha, dle Rozhodnutí o zařazení prací do kategorií čj. HP/FM-3114/245.3/07, ze dne </w:t>
      </w:r>
      <w:r w:rsidR="00D506E5">
        <w:t>6. 8. 2007</w:t>
      </w:r>
      <w:r>
        <w:t>.</w:t>
      </w:r>
    </w:p>
    <w:p w:rsidR="003F2AF7" w:rsidRDefault="0058442E">
      <w:pPr>
        <w:pStyle w:val="Zkladntext1"/>
        <w:shd w:val="clear" w:color="auto" w:fill="auto"/>
        <w:spacing w:line="254" w:lineRule="auto"/>
      </w:pPr>
      <w:r>
        <w:t xml:space="preserve">- Protokol o autorizovaném měření a posouzení celkové fyzické zátěže č. 4/CFZ/2018-OV, ze dne </w:t>
      </w:r>
      <w:r w:rsidR="00D506E5">
        <w:t>31. 1. 2018</w:t>
      </w:r>
      <w:r>
        <w:t xml:space="preserve">, který zpracoval Zdravotní ústav se sídlem v Ostravě, Partyzánské náměstí 7, 702 00 Ostrava. Dle výsledků uvedených v předloženém „Protokolu o autorizovaném měření a posouzení celkové fyzické zátěže č. 4/CFZ/2018-OV“ bylo zjištěno, že </w:t>
      </w:r>
      <w:proofErr w:type="spellStart"/>
      <w:r>
        <w:t>celosměnový</w:t>
      </w:r>
      <w:proofErr w:type="spellEnd"/>
      <w:r>
        <w:t xml:space="preserve"> energetický výdej odpovídá hodnotě 6,6 MJ. </w:t>
      </w:r>
      <w:proofErr w:type="spellStart"/>
      <w:r>
        <w:t>Flodnota</w:t>
      </w:r>
      <w:proofErr w:type="spellEnd"/>
      <w:r>
        <w:t xml:space="preserve"> minutové srdeční frekvence překračuje v měřené směně 150 tepů za minutu. Současně během práce dochází k ruční manipulaci s břemeny o hmotnosti nad 20 kg a více. Z hlediska kategorizace odpovídá zařazení práce „pracovník v sociálních službách - přímá péče (ženy)“ dle vyhlášky Č. 432/2003 Sb., do třetí kategorie rizikové pro faktor celková fyzická zátěž. Zařazení práce „pracovník v sociálních službách - přímá péče“, která je vykonávána muži, zůstává i nadále ve druhé kategorii pro faktor celková fyzická zátěž, dle Rozhodnutí o zařazení prací do kategorií čj. HP/FM-3114/245.3/07, ze dne </w:t>
      </w:r>
      <w:r w:rsidR="00D506E5">
        <w:t>6. 8. 2007</w:t>
      </w:r>
      <w:r>
        <w:t>.</w:t>
      </w:r>
    </w:p>
    <w:p w:rsidR="003F2AF7" w:rsidRDefault="0058442E">
      <w:pPr>
        <w:pStyle w:val="Zkladntext1"/>
        <w:shd w:val="clear" w:color="auto" w:fill="auto"/>
        <w:spacing w:line="254" w:lineRule="auto"/>
      </w:pPr>
      <w:r>
        <w:t>Práce je zaměstnavatelem do kategorií zařazena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1361"/>
        <w:gridCol w:w="1501"/>
        <w:gridCol w:w="2941"/>
      </w:tblGrid>
      <w:tr w:rsidR="003F2AF7">
        <w:trPr>
          <w:trHeight w:hRule="exact" w:val="511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Název práce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Výsledná</w:t>
            </w:r>
          </w:p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kategorie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/>
              <w:jc w:val="center"/>
            </w:pPr>
            <w:r>
              <w:t>Počet osob (ženy)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57" w:lineRule="auto"/>
              <w:jc w:val="center"/>
            </w:pPr>
            <w:r>
              <w:t>Faktory pracovního prostředí (kat.)</w:t>
            </w:r>
          </w:p>
        </w:tc>
      </w:tr>
      <w:tr w:rsidR="003F2AF7">
        <w:trPr>
          <w:trHeight w:hRule="exact" w:val="256"/>
          <w:jc w:val="center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F7" w:rsidRDefault="0058442E">
            <w:pPr>
              <w:pStyle w:val="Jin0"/>
              <w:shd w:val="clear" w:color="auto" w:fill="auto"/>
              <w:spacing w:after="0" w:line="257" w:lineRule="auto"/>
              <w:jc w:val="center"/>
            </w:pPr>
            <w:r>
              <w:t>pracovník v sociálních službách - přímá péče (ženy)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třetí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psychická zátěž (druhá)</w:t>
            </w:r>
          </w:p>
        </w:tc>
      </w:tr>
      <w:tr w:rsidR="003F2AF7">
        <w:trPr>
          <w:trHeight w:hRule="exact" w:val="497"/>
          <w:jc w:val="center"/>
        </w:trPr>
        <w:tc>
          <w:tcPr>
            <w:tcW w:w="3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AF7" w:rsidRDefault="0058442E">
            <w:pPr>
              <w:pStyle w:val="Jin0"/>
              <w:shd w:val="clear" w:color="auto" w:fill="auto"/>
              <w:spacing w:after="0"/>
              <w:jc w:val="center"/>
            </w:pPr>
            <w:r>
              <w:t>chemické látky (druhá) látka s větou H317</w:t>
            </w:r>
          </w:p>
        </w:tc>
      </w:tr>
      <w:tr w:rsidR="003F2AF7">
        <w:trPr>
          <w:trHeight w:hRule="exact" w:val="252"/>
          <w:jc w:val="center"/>
        </w:trPr>
        <w:tc>
          <w:tcPr>
            <w:tcW w:w="3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ind w:left="440" w:firstLine="20"/>
              <w:jc w:val="left"/>
            </w:pPr>
            <w:r>
              <w:t>celková fyzická zátěž (třetí)</w:t>
            </w:r>
          </w:p>
        </w:tc>
      </w:tr>
      <w:tr w:rsidR="003F2AF7">
        <w:trPr>
          <w:trHeight w:hRule="exact" w:val="252"/>
          <w:jc w:val="center"/>
        </w:trPr>
        <w:tc>
          <w:tcPr>
            <w:tcW w:w="3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ind w:left="440" w:firstLine="20"/>
              <w:jc w:val="left"/>
            </w:pPr>
            <w:r>
              <w:t>pracovní poloha (třetí)</w:t>
            </w:r>
          </w:p>
        </w:tc>
      </w:tr>
      <w:tr w:rsidR="003F2AF7">
        <w:trPr>
          <w:trHeight w:hRule="exact" w:val="263"/>
          <w:jc w:val="center"/>
        </w:trPr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AF7" w:rsidRDefault="003F2AF7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AF7" w:rsidRDefault="0058442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biologické činitele (druhá)</w:t>
            </w:r>
          </w:p>
        </w:tc>
      </w:tr>
    </w:tbl>
    <w:p w:rsidR="003F2AF7" w:rsidRDefault="003F2AF7">
      <w:pPr>
        <w:spacing w:after="226" w:line="14" w:lineRule="exact"/>
      </w:pPr>
    </w:p>
    <w:p w:rsidR="003F2AF7" w:rsidRDefault="0058442E">
      <w:pPr>
        <w:pStyle w:val="Zkladntext1"/>
        <w:shd w:val="clear" w:color="auto" w:fill="auto"/>
        <w:spacing w:line="240" w:lineRule="auto"/>
      </w:pPr>
      <w:r>
        <w:t xml:space="preserve">Do druhé kategorie pro faktor chemické látky (látka s větou H317) je práce zařazena dle platného „Sdělení ke kategorizaci prací, čj. KHSMS 67595/2016/FM/HP, ze dne </w:t>
      </w:r>
      <w:r w:rsidR="00D506E5">
        <w:t>27. 12. 2016</w:t>
      </w:r>
      <w:r>
        <w:t>“.</w:t>
      </w:r>
    </w:p>
    <w:p w:rsidR="003F2AF7" w:rsidRDefault="0058442E">
      <w:pPr>
        <w:pStyle w:val="Zkladntext1"/>
        <w:shd w:val="clear" w:color="auto" w:fill="auto"/>
        <w:spacing w:line="240" w:lineRule="auto"/>
      </w:pPr>
      <w:r>
        <w:t xml:space="preserve">Do druhé kategorie pro faktor psychická zátěž je práce zařazena dle platného „Rozhodnutí o zařazení prací do kategorií čj. KHSMS 42368/2016/FM/HP, ze dne </w:t>
      </w:r>
      <w:r w:rsidR="00D506E5">
        <w:t>18. 8. 2016</w:t>
      </w:r>
      <w:r>
        <w:t>.</w:t>
      </w:r>
    </w:p>
    <w:p w:rsidR="003F2AF7" w:rsidRDefault="0058442E">
      <w:pPr>
        <w:pStyle w:val="Zkladntext1"/>
        <w:shd w:val="clear" w:color="auto" w:fill="auto"/>
      </w:pPr>
      <w:r>
        <w:t xml:space="preserve">Do druhé kategorie pro faktor biologické činitele je práce zařazena dle „Rozhodnutí o zařazení prací do kategorií čj. HP/FM-3114/245.3/07, ze dne </w:t>
      </w:r>
      <w:r w:rsidR="00D506E5">
        <w:t>6. 8. 2007</w:t>
      </w:r>
      <w:r>
        <w:t>, které je v části týkající se zařazení uvedené práce do druhé kategorie pro faktor biologické činitele stále v platnosti.</w:t>
      </w:r>
    </w:p>
    <w:p w:rsidR="003F2AF7" w:rsidRDefault="0058442E">
      <w:pPr>
        <w:pStyle w:val="Zkladntext1"/>
        <w:shd w:val="clear" w:color="auto" w:fill="auto"/>
      </w:pPr>
      <w:r>
        <w:t xml:space="preserve">Povinnosti zaměstnavatele k zajištění bezpečnosti a ochrany zdraví pří práci vycházejí, mimo jiné, jak z ustanovení § 102 odst. 3 a § 103 zákona č. 262/2006 Sb., zákoníku práce ve znění pozdějších předpisů, tak i § 7 odst. 1 zákona č. č. 309/2006 Sb.; kterým se upravují další požadavky bezpečnosti a ochrany zdraví při </w:t>
      </w:r>
      <w:proofErr w:type="spellStart"/>
      <w:r>
        <w:t>prácí</w:t>
      </w:r>
      <w:proofErr w:type="spellEnd"/>
      <w:r>
        <w:t xml:space="preserve"> v pracovně právních vztazích a o zajištění bezpečnosti a ochrany zdraví při činnosti nebo poskytování služeb mimo pracovněprávní vztahy věznění pozdějších předpisů, ve spojení s nařízením vlády č. 361/2007 Sb., kterým se stanoví podmínky ochrany zdraví práci, ve znění pozdějších předpisů.</w:t>
      </w:r>
    </w:p>
    <w:p w:rsidR="003F2AF7" w:rsidRDefault="0058442E">
      <w:pPr>
        <w:pStyle w:val="Zkladntext1"/>
        <w:shd w:val="clear" w:color="auto" w:fill="auto"/>
      </w:pPr>
      <w:r>
        <w:t>Na základě provedeného posouzení předložené žádosti a doložených podkladů rozhodla Krajská hygienická stanice Moravskoslezského kraje se sídlem v Ostravě o zařazení prací do rizikové kategorií tak, jak si</w:t>
      </w:r>
    </w:p>
    <w:p w:rsidR="003F2AF7" w:rsidRDefault="0058442E">
      <w:pPr>
        <w:pStyle w:val="Zkladntext20"/>
        <w:shd w:val="clear" w:color="auto" w:fill="auto"/>
        <w:spacing w:after="200"/>
      </w:pPr>
      <w:r>
        <w:t xml:space="preserve">Strana 3 (celkem 3) strana rozhodnutí Krajské hygienické stanice Moravskoslezského kraje se sídlem v Ostravě </w:t>
      </w:r>
      <w:proofErr w:type="gramStart"/>
      <w:r>
        <w:t>č.j.</w:t>
      </w:r>
      <w:proofErr w:type="gramEnd"/>
      <w:r>
        <w:t xml:space="preserve"> KHSMS 24269/2018/FM/HP ze dne 10.5.2018</w:t>
      </w:r>
    </w:p>
    <w:p w:rsidR="003F2AF7" w:rsidRDefault="0058442E">
      <w:pPr>
        <w:pStyle w:val="Zkladntext1"/>
        <w:shd w:val="clear" w:color="auto" w:fill="auto"/>
        <w:spacing w:line="240" w:lineRule="auto"/>
      </w:pPr>
      <w:r>
        <w:t xml:space="preserve">zaměstnavatel navrhl a jak je shora uvedeno. Vydání rozhodnutí směřuje k zajištění ochrany zdraví zaměstnanců při </w:t>
      </w:r>
      <w:proofErr w:type="spellStart"/>
      <w:r>
        <w:t>prácí</w:t>
      </w:r>
      <w:proofErr w:type="spellEnd"/>
      <w:r>
        <w:t>.</w:t>
      </w:r>
    </w:p>
    <w:p w:rsidR="003F2AF7" w:rsidRDefault="0058442E">
      <w:pPr>
        <w:pStyle w:val="Zkladntext1"/>
        <w:shd w:val="clear" w:color="auto" w:fill="auto"/>
        <w:spacing w:after="340" w:line="254" w:lineRule="auto"/>
      </w:pPr>
      <w:r>
        <w:t xml:space="preserve">Náplně lékařských preventivních prohlídek osob, které vykonávají rizikové práce, a termíny periodických lékařských prohlídek k posouzení zdravotní způsobilosti k práci upravuje § 60 zákona ě. 373/2011 Sb., o specifických zdravotních službách, ve znění pozdějších předpisů, ve spojení s § 7 a přílohou ě. 2 vyhlášky č. 79/2013 Sb., vyhláška o </w:t>
      </w:r>
      <w:proofErr w:type="spellStart"/>
      <w:r>
        <w:t>pracovnělékařských</w:t>
      </w:r>
      <w:proofErr w:type="spellEnd"/>
      <w:r>
        <w:t xml:space="preserve"> službách a některých druzích posudkové péče, ve znění pozdějších předpisů.</w:t>
      </w:r>
    </w:p>
    <w:p w:rsidR="003F2AF7" w:rsidRDefault="0058442E">
      <w:pPr>
        <w:pStyle w:val="Zkladntext1"/>
        <w:shd w:val="clear" w:color="auto" w:fill="auto"/>
        <w:spacing w:after="0" w:line="254" w:lineRule="auto"/>
      </w:pPr>
      <w:r>
        <w:rPr>
          <w:b/>
          <w:bCs/>
        </w:rPr>
        <w:lastRenderedPageBreak/>
        <w:t>Poučení o odvolání:</w:t>
      </w:r>
    </w:p>
    <w:p w:rsidR="003F2AF7" w:rsidRDefault="0058442E">
      <w:pPr>
        <w:pStyle w:val="Zkladntext1"/>
        <w:shd w:val="clear" w:color="auto" w:fill="auto"/>
        <w:spacing w:after="2020" w:line="254" w:lineRule="auto"/>
      </w:pPr>
      <w:r>
        <w:t xml:space="preserve">Podle § 81 a § 83 zákona č. 500/2004 Sb., se lze proti tomuto rozhodnutí odvolat do 15 dnů ode dne doručení k Ministerstvu zdravotnictví ČR v Praze - hlavnímu hygienikovi ČR podáním u Krajské hygienické stanice Moravskoslezského kraje se sídlem v Ostravě. Lhůta pro podání odvolání se počítá ode dne následujícího po doručení písemného vyhotovení rozhodnutí, </w:t>
      </w:r>
      <w:proofErr w:type="spellStart"/>
      <w:r>
        <w:t>nej</w:t>
      </w:r>
      <w:proofErr w:type="spellEnd"/>
      <w:r>
        <w:t xml:space="preserve"> později však po uplynutí desátého dne ode dne, kdy bylo nedoručené a uložené rozhodnutí připraveno k vyzvednutí.</w:t>
      </w:r>
    </w:p>
    <w:p w:rsidR="003F2AF7" w:rsidRDefault="00CF6548">
      <w:pPr>
        <w:pStyle w:val="Zkladntext1"/>
        <w:shd w:val="clear" w:color="auto" w:fill="auto"/>
        <w:spacing w:after="0"/>
        <w:ind w:right="360"/>
        <w:jc w:val="center"/>
      </w:pPr>
      <w:r>
        <w:t>XXXXXXXXXXXXXX</w:t>
      </w:r>
      <w:bookmarkStart w:id="3" w:name="_GoBack"/>
      <w:bookmarkEnd w:id="3"/>
      <w:r w:rsidR="0058442E">
        <w:br/>
        <w:t>vedoucí oddělení hygieny práce</w:t>
      </w:r>
    </w:p>
    <w:p w:rsidR="003F2AF7" w:rsidRDefault="0058442E">
      <w:pPr>
        <w:pStyle w:val="Zkladntext1"/>
        <w:shd w:val="clear" w:color="auto" w:fill="auto"/>
        <w:spacing w:after="4240"/>
        <w:ind w:right="360"/>
        <w:jc w:val="center"/>
      </w:pPr>
      <w:r>
        <w:t>Krajské hygienické stanice Moravskoslezského</w:t>
      </w:r>
      <w:r>
        <w:br/>
        <w:t>kraje se sídlem v Ostravě</w:t>
      </w:r>
      <w:r>
        <w:br/>
        <w:t>územní pracoviště Frýdek-Místek</w:t>
      </w:r>
    </w:p>
    <w:p w:rsidR="003F2AF7" w:rsidRDefault="0058442E">
      <w:pPr>
        <w:pStyle w:val="Zkladntext1"/>
        <w:shd w:val="clear" w:color="auto" w:fill="auto"/>
        <w:spacing w:after="0" w:line="240" w:lineRule="auto"/>
        <w:ind w:left="140" w:firstLine="20"/>
        <w:jc w:val="left"/>
      </w:pPr>
      <w:r>
        <w:rPr>
          <w:b/>
          <w:bCs/>
          <w:u w:val="single"/>
        </w:rPr>
        <w:t>Rozdělovník:</w:t>
      </w:r>
    </w:p>
    <w:p w:rsidR="003F2AF7" w:rsidRDefault="0058442E">
      <w:pPr>
        <w:pStyle w:val="Zkladntext1"/>
        <w:shd w:val="clear" w:color="auto" w:fill="auto"/>
        <w:spacing w:after="0" w:line="240" w:lineRule="auto"/>
        <w:ind w:left="140" w:firstLine="20"/>
        <w:jc w:val="left"/>
      </w:pPr>
      <w:r>
        <w:rPr>
          <w:b/>
          <w:bCs/>
        </w:rPr>
        <w:t>Počet výtisků vyhotoveného dokumentu: 2</w:t>
      </w:r>
    </w:p>
    <w:p w:rsidR="003F2AF7" w:rsidRDefault="0058442E">
      <w:pPr>
        <w:pStyle w:val="Zkladntext1"/>
        <w:shd w:val="clear" w:color="auto" w:fill="auto"/>
        <w:spacing w:after="0" w:line="240" w:lineRule="auto"/>
        <w:ind w:left="140" w:firstLine="20"/>
        <w:jc w:val="left"/>
      </w:pPr>
      <w:proofErr w:type="spellStart"/>
      <w:r>
        <w:t>lx</w:t>
      </w:r>
      <w:proofErr w:type="spellEnd"/>
      <w:r>
        <w:t xml:space="preserve"> adresát, 3 str. (DS)</w:t>
      </w:r>
    </w:p>
    <w:p w:rsidR="003F2AF7" w:rsidRDefault="0058442E">
      <w:pPr>
        <w:pStyle w:val="Zkladntext1"/>
        <w:shd w:val="clear" w:color="auto" w:fill="auto"/>
        <w:spacing w:after="220" w:line="240" w:lineRule="auto"/>
        <w:ind w:left="140" w:firstLine="20"/>
        <w:jc w:val="left"/>
      </w:pPr>
      <w:proofErr w:type="gramStart"/>
      <w:r>
        <w:rPr>
          <w:lang w:val="en-US" w:eastAsia="en-US" w:bidi="en-US"/>
        </w:rPr>
        <w:t>lx</w:t>
      </w:r>
      <w:proofErr w:type="gramEnd"/>
      <w:r>
        <w:rPr>
          <w:lang w:val="en-US" w:eastAsia="en-US" w:bidi="en-US"/>
        </w:rPr>
        <w:t xml:space="preserve"> </w:t>
      </w:r>
      <w:r>
        <w:t>KHS, oddělení HP, 3 str. + svazek</w:t>
      </w:r>
    </w:p>
    <w:sectPr w:rsidR="003F2AF7">
      <w:type w:val="continuous"/>
      <w:pgSz w:w="11900" w:h="16840"/>
      <w:pgMar w:top="954" w:right="918" w:bottom="1534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BA" w:rsidRDefault="00CD6BBA">
      <w:r>
        <w:separator/>
      </w:r>
    </w:p>
  </w:endnote>
  <w:endnote w:type="continuationSeparator" w:id="0">
    <w:p w:rsidR="00CD6BBA" w:rsidRDefault="00CD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F7" w:rsidRDefault="0058442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6766560</wp:posOffset>
              </wp:positionH>
              <wp:positionV relativeFrom="page">
                <wp:posOffset>9895840</wp:posOffset>
              </wp:positionV>
              <wp:extent cx="5969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2AF7" w:rsidRDefault="0058442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654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2.8pt;margin-top:779.2pt;width:4.7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gekQEAAB8DAAAOAAAAZHJzL2Uyb0RvYy54bWysUsFOwzAMvSPxD1HurNukoa1aN4EmEBIC&#10;JOADsjRZIzVxFIe1+3ucrBsIboiL69ju8/Ozl+vetmyvAhpwFZ+MxpwpJ6E2blfx97e7qzlnGIWr&#10;RQtOVfygkK9XlxfLzpdqCg20tQqMQByWna94E6MviwJlo6zAEXjlKKkhWBHpGXZFHURH6LYtpuPx&#10;ddFBqH0AqRApujkm+Srja61kfNYaVWRtxYlbzDZku022WC1FuQvCN0YONMQfWFhhHDU9Q21EFOwj&#10;mF9Q1sgACDqOJNgCtDZS5Rlomsn4xzSvjfAqz0LioD/LhP8HK5/2L4GZmnbHmROWVpS7skmSpvNY&#10;UsWrp5rY30KfyoY4UjBN3Otg05dmYZQnkQ9nYVUfmaTgbHG9oISkzGI2n88SRvH1qw8Y7xVYlpyK&#10;B9paFlPsHzEeS08lqZODO9O2KZ74HXkkL/bbfiC3hfpAnDtabMUdXR5n7YMj3dINnJxwcraDk8DR&#10;33xEapD7JtQj1NCMtpCZDxeT1vz9nau+7nr1CQAA//8DAFBLAwQUAAYACAAAACEAi2g15t8AAAAP&#10;AQAADwAAAGRycy9kb3ducmV2LnhtbEyPzU7DMBCE70i8g7VI3KhTwEkU4lSoEhduFITEzU22cVT/&#10;RLabJm/P5gS3nd3R7Df1braGTRji4J2E7SYDhq713eB6CV+fbw8lsJiU65TxDiUsGGHX3N7Uqur8&#10;1X3gdEg9oxAXKyVBpzRWnMdWo1Vx40d0dDv5YFUiGXreBXWlcGv4Y5bl3KrB0QetRtxrbM+Hi5VQ&#10;zN8ex4h7/DlNbdDDUpr3Rcr7u/n1BVjCOf2ZYcUndGiI6egvrovMkM5ykZOXJiHKZ2CrJysEFTyu&#10;u+JJAG9q/r9H8wsAAP//AwBQSwECLQAUAAYACAAAACEAtoM4kv4AAADhAQAAEwAAAAAAAAAAAAAA&#10;AAAAAAAAW0NvbnRlbnRfVHlwZXNdLnhtbFBLAQItABQABgAIAAAAIQA4/SH/1gAAAJQBAAALAAAA&#10;AAAAAAAAAAAAAC8BAABfcmVscy8ucmVsc1BLAQItABQABgAIAAAAIQC5RQgekQEAAB8DAAAOAAAA&#10;AAAAAAAAAAAAAC4CAABkcnMvZTJvRG9jLnhtbFBLAQItABQABgAIAAAAIQCLaDXm3wAAAA8BAAAP&#10;AAAAAAAAAAAAAAAAAOsDAABkcnMvZG93bnJldi54bWxQSwUGAAAAAAQABADzAAAA9wQAAAAA&#10;" filled="f" stroked="f">
              <v:textbox style="mso-fit-shape-to-text:t" inset="0,0,0,0">
                <w:txbxContent>
                  <w:p w:rsidR="003F2AF7" w:rsidRDefault="0058442E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654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F7" w:rsidRDefault="0058442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9624695</wp:posOffset>
              </wp:positionV>
              <wp:extent cx="146050" cy="546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2AF7" w:rsidRDefault="0058442E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HP4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4.450000000000003pt;margin-top:757.85000000000002pt;width:11.5pt;height:4.29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HP4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BA" w:rsidRDefault="00CD6BBA"/>
  </w:footnote>
  <w:footnote w:type="continuationSeparator" w:id="0">
    <w:p w:rsidR="00CD6BBA" w:rsidRDefault="00CD6B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F7"/>
    <w:rsid w:val="003F2AF7"/>
    <w:rsid w:val="0058442E"/>
    <w:rsid w:val="00CD6BBA"/>
    <w:rsid w:val="00CF6548"/>
    <w:rsid w:val="00D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4F992-FF3F-4A8A-98EC-B319794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500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560"/>
    </w:pPr>
    <w:rPr>
      <w:rFonts w:ascii="Times New Roman" w:eastAsia="Times New Roman" w:hAnsi="Times New Roman" w:cs="Times New Roman"/>
      <w:b/>
      <w:bCs/>
      <w:i/>
      <w:iCs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80" w:lineRule="auto"/>
      <w:ind w:left="6880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5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ind w:left="1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 w:line="288" w:lineRule="auto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ova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1208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5</cp:revision>
  <dcterms:created xsi:type="dcterms:W3CDTF">2018-07-03T13:35:00Z</dcterms:created>
  <dcterms:modified xsi:type="dcterms:W3CDTF">2018-07-03T14:23:00Z</dcterms:modified>
</cp:coreProperties>
</file>