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17" w:rsidRDefault="006211E6">
      <w:pPr>
        <w:pStyle w:val="Nadpis10"/>
        <w:keepNext/>
        <w:keepLines/>
        <w:shd w:val="clear" w:color="auto" w:fill="auto"/>
        <w:spacing w:after="160" w:line="240" w:lineRule="auto"/>
        <w:ind w:left="1860"/>
      </w:pPr>
      <w:bookmarkStart w:id="0" w:name="bookmark0"/>
      <w:r>
        <w:t xml:space="preserve">Dodatek č. 1 ke smlouvě o spolupráci </w:t>
      </w:r>
      <w:proofErr w:type="gramStart"/>
      <w:r>
        <w:t>č.j.</w:t>
      </w:r>
      <w:proofErr w:type="gramEnd"/>
      <w:r>
        <w:t xml:space="preserve"> NG/2503/2017</w:t>
      </w:r>
      <w:bookmarkEnd w:id="0"/>
    </w:p>
    <w:p w:rsidR="00876017" w:rsidRDefault="006211E6">
      <w:pPr>
        <w:pStyle w:val="Zkladntext1"/>
        <w:shd w:val="clear" w:color="auto" w:fill="auto"/>
        <w:spacing w:after="600" w:line="240" w:lineRule="auto"/>
        <w:ind w:left="2800" w:firstLine="0"/>
        <w:jc w:val="left"/>
      </w:pPr>
      <w:r>
        <w:t>uzavřený mezi smluvními stranami</w:t>
      </w:r>
    </w:p>
    <w:p w:rsidR="00876017" w:rsidRDefault="006211E6">
      <w:pPr>
        <w:pStyle w:val="Nadpis10"/>
        <w:keepNext/>
        <w:keepLines/>
        <w:shd w:val="clear" w:color="auto" w:fill="auto"/>
        <w:spacing w:after="0" w:line="283" w:lineRule="auto"/>
        <w:ind w:left="340" w:firstLine="40"/>
      </w:pPr>
      <w:bookmarkStart w:id="1" w:name="bookmark1"/>
      <w:r>
        <w:t>Národní galerie v Praze</w:t>
      </w:r>
      <w:bookmarkEnd w:id="1"/>
    </w:p>
    <w:p w:rsidR="006B1AF4" w:rsidRDefault="006211E6">
      <w:pPr>
        <w:pStyle w:val="Zkladntext1"/>
        <w:shd w:val="clear" w:color="auto" w:fill="auto"/>
        <w:spacing w:after="0" w:line="269" w:lineRule="auto"/>
        <w:ind w:left="340" w:right="3760" w:firstLine="40"/>
        <w:jc w:val="left"/>
      </w:pPr>
      <w:r>
        <w:t xml:space="preserve">se sídlem: Staroměstské náměstí 12, 110 15 Praha 1 zastoupená: doc. Dr. et Ing. Jiří Fajt, Ph.D., generální ředitel </w:t>
      </w:r>
    </w:p>
    <w:p w:rsidR="00876017" w:rsidRDefault="006211E6">
      <w:pPr>
        <w:pStyle w:val="Zkladntext1"/>
        <w:shd w:val="clear" w:color="auto" w:fill="auto"/>
        <w:spacing w:after="0" w:line="269" w:lineRule="auto"/>
        <w:ind w:left="340" w:right="3760" w:firstLine="40"/>
        <w:jc w:val="left"/>
      </w:pPr>
      <w:r>
        <w:t>IČ: 00023281</w:t>
      </w:r>
    </w:p>
    <w:p w:rsidR="00876017" w:rsidRDefault="006211E6">
      <w:pPr>
        <w:pStyle w:val="Zkladntext1"/>
        <w:shd w:val="clear" w:color="auto" w:fill="auto"/>
        <w:spacing w:after="0" w:line="269" w:lineRule="auto"/>
        <w:ind w:left="340" w:firstLine="40"/>
        <w:jc w:val="left"/>
      </w:pPr>
      <w:r>
        <w:t xml:space="preserve">DIČ: </w:t>
      </w:r>
      <w:r>
        <w:t>CZ00023281</w:t>
      </w:r>
    </w:p>
    <w:p w:rsidR="00876017" w:rsidRDefault="006211E6" w:rsidP="006B1AF4">
      <w:pPr>
        <w:pStyle w:val="Zkladntext1"/>
        <w:shd w:val="clear" w:color="auto" w:fill="auto"/>
        <w:spacing w:after="0" w:line="240" w:lineRule="auto"/>
        <w:ind w:left="340" w:firstLine="40"/>
        <w:jc w:val="left"/>
        <w:rPr>
          <w:b/>
          <w:bCs/>
          <w:sz w:val="18"/>
          <w:szCs w:val="18"/>
        </w:rPr>
      </w:pPr>
      <w:r>
        <w:t xml:space="preserve">(dále jen jako </w:t>
      </w:r>
      <w:r>
        <w:rPr>
          <w:b/>
          <w:bCs/>
          <w:sz w:val="18"/>
          <w:szCs w:val="18"/>
        </w:rPr>
        <w:t>„NG“)</w:t>
      </w:r>
    </w:p>
    <w:p w:rsidR="006B1AF4" w:rsidRDefault="006B1AF4" w:rsidP="006B1AF4">
      <w:pPr>
        <w:pStyle w:val="Zkladntext1"/>
        <w:shd w:val="clear" w:color="auto" w:fill="auto"/>
        <w:spacing w:after="0" w:line="240" w:lineRule="auto"/>
        <w:ind w:left="340" w:firstLine="40"/>
        <w:jc w:val="left"/>
        <w:rPr>
          <w:b/>
          <w:bCs/>
          <w:sz w:val="18"/>
          <w:szCs w:val="18"/>
        </w:rPr>
      </w:pPr>
    </w:p>
    <w:p w:rsidR="006B1AF4" w:rsidRDefault="006B1AF4" w:rsidP="006B1AF4">
      <w:pPr>
        <w:pStyle w:val="Zkladntext1"/>
        <w:shd w:val="clear" w:color="auto" w:fill="auto"/>
        <w:spacing w:after="0" w:line="240" w:lineRule="auto"/>
        <w:ind w:left="340" w:firstLine="40"/>
        <w:jc w:val="left"/>
        <w:rPr>
          <w:b/>
          <w:bCs/>
          <w:sz w:val="18"/>
          <w:szCs w:val="18"/>
        </w:rPr>
      </w:pPr>
    </w:p>
    <w:p w:rsidR="006B1AF4" w:rsidRDefault="006B1AF4" w:rsidP="006B1AF4">
      <w:pPr>
        <w:pStyle w:val="Zkladntext1"/>
        <w:shd w:val="clear" w:color="auto" w:fill="auto"/>
        <w:spacing w:after="0" w:line="240" w:lineRule="auto"/>
        <w:ind w:left="340" w:firstLine="40"/>
        <w:jc w:val="left"/>
        <w:rPr>
          <w:bCs/>
          <w:sz w:val="18"/>
          <w:szCs w:val="18"/>
        </w:rPr>
      </w:pPr>
      <w:r>
        <w:rPr>
          <w:bCs/>
          <w:sz w:val="18"/>
          <w:szCs w:val="18"/>
        </w:rPr>
        <w:t>a</w:t>
      </w:r>
    </w:p>
    <w:p w:rsidR="006B1AF4" w:rsidRDefault="006B1AF4" w:rsidP="006B1AF4">
      <w:pPr>
        <w:pStyle w:val="Zkladntext1"/>
        <w:shd w:val="clear" w:color="auto" w:fill="auto"/>
        <w:spacing w:after="0" w:line="240" w:lineRule="auto"/>
        <w:ind w:left="340" w:firstLine="40"/>
        <w:jc w:val="left"/>
        <w:rPr>
          <w:bCs/>
          <w:sz w:val="18"/>
          <w:szCs w:val="18"/>
        </w:rPr>
      </w:pPr>
    </w:p>
    <w:p w:rsidR="006B1AF4" w:rsidRPr="006B1AF4" w:rsidRDefault="006B1AF4" w:rsidP="006B1AF4">
      <w:pPr>
        <w:pStyle w:val="Zkladntext1"/>
        <w:shd w:val="clear" w:color="auto" w:fill="auto"/>
        <w:spacing w:after="0" w:line="240" w:lineRule="auto"/>
        <w:ind w:left="340" w:firstLine="40"/>
        <w:jc w:val="left"/>
        <w:rPr>
          <w:sz w:val="18"/>
          <w:szCs w:val="18"/>
        </w:rPr>
      </w:pPr>
    </w:p>
    <w:p w:rsidR="00876017" w:rsidRDefault="006211E6" w:rsidP="006B1AF4">
      <w:pPr>
        <w:pStyle w:val="Nadpis10"/>
        <w:keepNext/>
        <w:keepLines/>
        <w:shd w:val="clear" w:color="auto" w:fill="auto"/>
        <w:spacing w:after="0" w:line="240" w:lineRule="auto"/>
        <w:ind w:left="340" w:firstLine="40"/>
      </w:pPr>
      <w:bookmarkStart w:id="2" w:name="bookmark2"/>
      <w:proofErr w:type="spellStart"/>
      <w:r>
        <w:t>MgA</w:t>
      </w:r>
      <w:proofErr w:type="spellEnd"/>
      <w:r>
        <w:t>. Kateřinou Šedou</w:t>
      </w:r>
      <w:bookmarkEnd w:id="2"/>
    </w:p>
    <w:p w:rsidR="006B1AF4" w:rsidRDefault="006211E6">
      <w:pPr>
        <w:pStyle w:val="Zkladntext1"/>
        <w:shd w:val="clear" w:color="auto" w:fill="auto"/>
        <w:spacing w:after="0"/>
        <w:ind w:left="340" w:right="3760" w:firstLine="40"/>
        <w:jc w:val="left"/>
      </w:pPr>
      <w:r>
        <w:t xml:space="preserve">se sídlem: Střelnice 41,628 00, Brno-Líšeň </w:t>
      </w:r>
    </w:p>
    <w:p w:rsidR="00876017" w:rsidRDefault="006211E6">
      <w:pPr>
        <w:pStyle w:val="Zkladntext1"/>
        <w:shd w:val="clear" w:color="auto" w:fill="auto"/>
        <w:spacing w:after="0"/>
        <w:ind w:left="340" w:right="3760" w:firstLine="40"/>
        <w:jc w:val="left"/>
      </w:pPr>
      <w:r>
        <w:t>IČ: 88170055</w:t>
      </w:r>
    </w:p>
    <w:p w:rsidR="006B1AF4" w:rsidRDefault="006211E6">
      <w:pPr>
        <w:pStyle w:val="Zkladntext1"/>
        <w:shd w:val="clear" w:color="auto" w:fill="auto"/>
        <w:spacing w:after="0"/>
        <w:ind w:left="340" w:right="3760" w:firstLine="40"/>
        <w:jc w:val="left"/>
      </w:pPr>
      <w:r>
        <w:t xml:space="preserve">Bankovní spojení: </w:t>
      </w:r>
      <w:r w:rsidR="006B1AF4">
        <w:t>XXXXXXXXXXX</w:t>
      </w:r>
      <w:r>
        <w:t xml:space="preserve"> </w:t>
      </w:r>
    </w:p>
    <w:p w:rsidR="006B1AF4" w:rsidRDefault="006211E6">
      <w:pPr>
        <w:pStyle w:val="Zkladntext1"/>
        <w:shd w:val="clear" w:color="auto" w:fill="auto"/>
        <w:spacing w:after="0"/>
        <w:ind w:left="340" w:right="3760" w:firstLine="40"/>
        <w:jc w:val="left"/>
      </w:pPr>
      <w:r>
        <w:t xml:space="preserve">Číslo účtu: </w:t>
      </w:r>
      <w:r w:rsidR="006B1AF4">
        <w:t>XXXXXXXXXXXXX</w:t>
      </w:r>
      <w:r>
        <w:t xml:space="preserve"> </w:t>
      </w:r>
    </w:p>
    <w:p w:rsidR="00876017" w:rsidRDefault="006211E6">
      <w:pPr>
        <w:pStyle w:val="Zkladntext1"/>
        <w:shd w:val="clear" w:color="auto" w:fill="auto"/>
        <w:spacing w:after="0"/>
        <w:ind w:left="340" w:right="3760" w:firstLine="40"/>
        <w:jc w:val="left"/>
        <w:rPr>
          <w:b/>
          <w:bCs/>
          <w:sz w:val="18"/>
          <w:szCs w:val="18"/>
        </w:rPr>
      </w:pPr>
      <w:r>
        <w:t xml:space="preserve">(dále jen jako </w:t>
      </w:r>
      <w:r>
        <w:rPr>
          <w:b/>
          <w:bCs/>
          <w:sz w:val="18"/>
          <w:szCs w:val="18"/>
        </w:rPr>
        <w:t>„Partner“)</w:t>
      </w:r>
    </w:p>
    <w:p w:rsidR="006B1AF4" w:rsidRDefault="006B1AF4">
      <w:pPr>
        <w:pStyle w:val="Zkladntext1"/>
        <w:shd w:val="clear" w:color="auto" w:fill="auto"/>
        <w:spacing w:after="0"/>
        <w:ind w:left="340" w:right="3760" w:firstLine="40"/>
        <w:jc w:val="left"/>
        <w:rPr>
          <w:sz w:val="18"/>
          <w:szCs w:val="18"/>
        </w:rPr>
      </w:pPr>
    </w:p>
    <w:p w:rsidR="00876017" w:rsidRDefault="006211E6">
      <w:pPr>
        <w:pStyle w:val="Nadpis10"/>
        <w:keepNext/>
        <w:keepLines/>
        <w:shd w:val="clear" w:color="auto" w:fill="auto"/>
        <w:spacing w:after="140" w:line="290" w:lineRule="auto"/>
        <w:ind w:left="4140"/>
      </w:pPr>
      <w:bookmarkStart w:id="3" w:name="bookmark3"/>
      <w:r>
        <w:t>I.</w:t>
      </w:r>
      <w:bookmarkEnd w:id="3"/>
    </w:p>
    <w:p w:rsidR="00876017" w:rsidRDefault="006211E6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ind w:left="340" w:right="260" w:hanging="340"/>
        <w:rPr>
          <w:sz w:val="18"/>
          <w:szCs w:val="18"/>
        </w:rPr>
      </w:pPr>
      <w:r>
        <w:t xml:space="preserve">Smluvní strany uzavřeli dne 15. 12. 2017 v souladu s </w:t>
      </w:r>
      <w:proofErr w:type="spellStart"/>
      <w:r>
        <w:t>ust</w:t>
      </w:r>
      <w:proofErr w:type="spellEnd"/>
      <w:r>
        <w:t xml:space="preserve">. § 1746 odst. 2 zák. č. 89/2012 Sb., občanského zákoníku, ve znění pozdějších předpisů (dále jen jako „NOZ“) smlouvu o spolupráci (dále jen jako </w:t>
      </w:r>
      <w:r>
        <w:rPr>
          <w:b/>
          <w:bCs/>
          <w:sz w:val="18"/>
          <w:szCs w:val="18"/>
        </w:rPr>
        <w:t xml:space="preserve">„smlouva“), </w:t>
      </w:r>
      <w:r>
        <w:t>jejímž předmětem je spolupráce smluvních s</w:t>
      </w:r>
      <w:r>
        <w:t xml:space="preserve">tran na zpracování projektu a realizace expozice s názvem „UNES-CO“ ve výstavním pavilonu v italských Benátkách, určeného k výstavám současného českého a slovenského umění v rámci mezinárodních výstav pořádaných v Benátkách (dále jen jako </w:t>
      </w:r>
      <w:r>
        <w:rPr>
          <w:b/>
          <w:bCs/>
          <w:sz w:val="18"/>
          <w:szCs w:val="18"/>
        </w:rPr>
        <w:t>„expozice“).</w:t>
      </w:r>
    </w:p>
    <w:p w:rsidR="00876017" w:rsidRDefault="006211E6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spacing w:after="580" w:line="271" w:lineRule="auto"/>
        <w:ind w:left="340" w:right="260" w:hanging="340"/>
        <w:rPr>
          <w:sz w:val="18"/>
          <w:szCs w:val="18"/>
        </w:rPr>
      </w:pPr>
      <w:r>
        <w:t>Vzhl</w:t>
      </w:r>
      <w:r>
        <w:t>edem k požadavku NG na rozšíření předmětu plnění o další dílčí složku plnění, která vznikla neočekávaným zásahem třetí strany (italský památkový ústav), a dále za účelem vyjasnění majetkových práv k hmotnému substrátu díla a upravení podmínek následného vy</w:t>
      </w:r>
      <w:r>
        <w:t xml:space="preserve">stavování expozice, uzavírají smluvní strany po vzájemné dohodě tento dodatek č. 1 ke smlouvě (dále jen </w:t>
      </w:r>
      <w:r>
        <w:rPr>
          <w:b/>
          <w:bCs/>
          <w:sz w:val="18"/>
          <w:szCs w:val="18"/>
        </w:rPr>
        <w:t>„dodatek“).</w:t>
      </w:r>
    </w:p>
    <w:p w:rsidR="00876017" w:rsidRDefault="006211E6">
      <w:pPr>
        <w:pStyle w:val="Nadpis10"/>
        <w:keepNext/>
        <w:keepLines/>
        <w:shd w:val="clear" w:color="auto" w:fill="auto"/>
        <w:spacing w:after="0"/>
        <w:ind w:left="4080"/>
      </w:pPr>
      <w:bookmarkStart w:id="4" w:name="bookmark4"/>
      <w:r>
        <w:t>II.</w:t>
      </w:r>
      <w:bookmarkEnd w:id="4"/>
    </w:p>
    <w:p w:rsidR="00876017" w:rsidRDefault="006211E6">
      <w:pPr>
        <w:pStyle w:val="Zkladntext1"/>
        <w:shd w:val="clear" w:color="auto" w:fill="auto"/>
        <w:spacing w:after="140" w:line="288" w:lineRule="auto"/>
        <w:ind w:left="1520" w:firstLine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Rozšíření předmětu plnění a zvýšení finančního příspěvku NG</w:t>
      </w:r>
    </w:p>
    <w:p w:rsidR="00876017" w:rsidRDefault="006211E6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  <w:spacing w:after="220"/>
        <w:ind w:left="340" w:right="260" w:hanging="340"/>
        <w:rPr>
          <w:sz w:val="18"/>
          <w:szCs w:val="18"/>
        </w:rPr>
      </w:pPr>
      <w:r>
        <w:t xml:space="preserve">Vzhledem k neodkladnému požadavku italského památkového ústavu týkajícího se způsobu zavěšení venkovní instalace expozice neinvazivním způsobem, tj. způsobem, který nenaruší povrch zdivá výstavního pavilonu, dohodly se smluvní strany na rozšíření předmětu </w:t>
      </w:r>
      <w:r>
        <w:t xml:space="preserve">plnění smlouvy, jak je blíže specifikován v její příloze č. 2 („Rozpočet výstavy“), o následující položku (dále jen jako </w:t>
      </w:r>
      <w:r>
        <w:rPr>
          <w:b/>
          <w:bCs/>
          <w:sz w:val="18"/>
          <w:szCs w:val="18"/>
        </w:rPr>
        <w:t>„nová část předmětu plnění“: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8"/>
        <w:gridCol w:w="2977"/>
        <w:gridCol w:w="2840"/>
      </w:tblGrid>
      <w:tr w:rsidR="00876017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17" w:rsidRDefault="006211E6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nová část předmětu plnění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017" w:rsidRDefault="006211E6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finanční příspěvek NG bez DPH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017" w:rsidRDefault="006211E6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finanční příspěvek NG vč. DPH</w:t>
            </w:r>
          </w:p>
        </w:tc>
      </w:tr>
      <w:tr w:rsidR="00876017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6017" w:rsidRDefault="006211E6">
            <w:pPr>
              <w:pStyle w:val="Jin0"/>
              <w:shd w:val="clear" w:color="auto" w:fill="auto"/>
              <w:tabs>
                <w:tab w:val="left" w:pos="1076"/>
                <w:tab w:val="left" w:pos="2232"/>
              </w:tabs>
              <w:spacing w:after="0" w:line="240" w:lineRule="auto"/>
              <w:ind w:firstLine="0"/>
            </w:pPr>
            <w:r>
              <w:t>Tlakové</w:t>
            </w:r>
            <w:r>
              <w:tab/>
              <w:t>rozporné</w:t>
            </w:r>
            <w:r>
              <w:tab/>
            </w:r>
            <w:r>
              <w:t>tyče,</w:t>
            </w:r>
          </w:p>
          <w:p w:rsidR="00876017" w:rsidRDefault="006211E6">
            <w:pPr>
              <w:pStyle w:val="Jin0"/>
              <w:shd w:val="clear" w:color="auto" w:fill="auto"/>
              <w:spacing w:after="0" w:line="240" w:lineRule="auto"/>
              <w:ind w:firstLine="0"/>
            </w:pPr>
            <w:r>
              <w:t>transport, jejich instalace a zajištění znaleckého posudku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017" w:rsidRDefault="006211E6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</w:pPr>
            <w:r>
              <w:t>[ 129.717,-CZK]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017" w:rsidRDefault="006211E6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</w:pPr>
            <w:r>
              <w:t>156.958,- CZK</w:t>
            </w:r>
          </w:p>
        </w:tc>
      </w:tr>
    </w:tbl>
    <w:p w:rsidR="00876017" w:rsidRDefault="00876017">
      <w:pPr>
        <w:spacing w:after="226" w:line="14" w:lineRule="exact"/>
      </w:pPr>
    </w:p>
    <w:p w:rsidR="00876017" w:rsidRDefault="006211E6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  <w:ind w:left="340" w:right="260" w:hanging="340"/>
      </w:pPr>
      <w:r>
        <w:t xml:space="preserve">Smluvní strany se dohodly, že výše uvedený finanční příspěvek NG na novou část předmětu plnění bude uhrazen Partnerovi na základě vystavené faktury a po </w:t>
      </w:r>
      <w:r>
        <w:t>bezvýhradné akceptaci nové části předmětu plnění ze strany NG.</w:t>
      </w:r>
    </w:p>
    <w:p w:rsidR="006B1AF4" w:rsidRDefault="006B1AF4" w:rsidP="006B1AF4">
      <w:pPr>
        <w:pStyle w:val="Zkladntext1"/>
        <w:shd w:val="clear" w:color="auto" w:fill="auto"/>
        <w:tabs>
          <w:tab w:val="left" w:pos="348"/>
        </w:tabs>
        <w:ind w:right="260"/>
      </w:pPr>
    </w:p>
    <w:p w:rsidR="00876017" w:rsidRDefault="006211E6">
      <w:pPr>
        <w:pStyle w:val="Zkladntext1"/>
        <w:numPr>
          <w:ilvl w:val="0"/>
          <w:numId w:val="2"/>
        </w:numPr>
        <w:shd w:val="clear" w:color="auto" w:fill="auto"/>
        <w:tabs>
          <w:tab w:val="left" w:pos="349"/>
        </w:tabs>
        <w:spacing w:after="500"/>
        <w:ind w:left="340" w:hanging="340"/>
      </w:pPr>
      <w:r>
        <w:lastRenderedPageBreak/>
        <w:t>Finanční příspěvek NG bude zaplacen na základě faktury obsahující všechny zákonné náležitosti, která bude Partnerem vystavena nejdříve v termínu uvedeném v čl. II odst. 2 výše. Vystavená faktur</w:t>
      </w:r>
      <w:r>
        <w:t xml:space="preserve">a bude splatná do 30 dnů ode dne jejího doručení NG elektronicky na e-mailovou adresu </w:t>
      </w:r>
      <w:r w:rsidR="006B1AF4">
        <w:rPr>
          <w:color w:val="1F61A8"/>
          <w:u w:val="single"/>
          <w:lang w:val="en-US" w:eastAsia="en-US" w:bidi="en-US"/>
        </w:rPr>
        <w:t>faktury@</w:t>
      </w:r>
      <w:r>
        <w:rPr>
          <w:color w:val="1F61A8"/>
          <w:u w:val="single"/>
          <w:lang w:val="en-US" w:eastAsia="en-US" w:bidi="en-US"/>
        </w:rPr>
        <w:t>ngprague.cz</w:t>
      </w:r>
      <w:r>
        <w:rPr>
          <w:color w:val="1F61A8"/>
          <w:lang w:val="en-US" w:eastAsia="en-US" w:bidi="en-US"/>
        </w:rPr>
        <w:t>.</w:t>
      </w:r>
    </w:p>
    <w:p w:rsidR="00876017" w:rsidRDefault="006211E6">
      <w:pPr>
        <w:pStyle w:val="Nadpis10"/>
        <w:keepNext/>
        <w:keepLines/>
        <w:shd w:val="clear" w:color="auto" w:fill="auto"/>
        <w:spacing w:after="0"/>
        <w:ind w:left="4040"/>
      </w:pPr>
      <w:bookmarkStart w:id="5" w:name="bookmark5"/>
      <w:r>
        <w:t>III.</w:t>
      </w:r>
      <w:bookmarkEnd w:id="5"/>
    </w:p>
    <w:p w:rsidR="00876017" w:rsidRDefault="006211E6">
      <w:pPr>
        <w:pStyle w:val="Nadpis10"/>
        <w:keepNext/>
        <w:keepLines/>
        <w:shd w:val="clear" w:color="auto" w:fill="auto"/>
        <w:spacing w:after="240"/>
        <w:ind w:left="3200"/>
      </w:pPr>
      <w:bookmarkStart w:id="6" w:name="bookmark6"/>
      <w:r>
        <w:t>Změna čl. IV. Smlouvy</w:t>
      </w:r>
      <w:bookmarkEnd w:id="6"/>
    </w:p>
    <w:p w:rsidR="00876017" w:rsidRDefault="006211E6">
      <w:pPr>
        <w:pStyle w:val="Zkladntext1"/>
        <w:numPr>
          <w:ilvl w:val="0"/>
          <w:numId w:val="3"/>
        </w:numPr>
        <w:shd w:val="clear" w:color="auto" w:fill="auto"/>
        <w:tabs>
          <w:tab w:val="left" w:pos="349"/>
        </w:tabs>
        <w:ind w:left="340" w:hanging="340"/>
        <w:jc w:val="left"/>
      </w:pPr>
      <w:r>
        <w:t>Smluvní strany se dohodly, že se čl. IV smlouvy se ruší a v plném rozsahu se nahrazuje následujícím zněním:</w:t>
      </w:r>
    </w:p>
    <w:p w:rsidR="00876017" w:rsidRDefault="006211E6">
      <w:pPr>
        <w:pStyle w:val="Zkladntext1"/>
        <w:numPr>
          <w:ilvl w:val="0"/>
          <w:numId w:val="4"/>
        </w:numPr>
        <w:shd w:val="clear" w:color="auto" w:fill="auto"/>
        <w:tabs>
          <w:tab w:val="left" w:pos="1052"/>
        </w:tabs>
        <w:spacing w:line="271" w:lineRule="auto"/>
        <w:ind w:left="340" w:firstLine="20"/>
      </w:pPr>
      <w:r>
        <w:t xml:space="preserve">Vzhledem k nepotřebnosti hmotného substrátu projektu a expozice vytvořeného Partnerem (dále jen jako </w:t>
      </w:r>
      <w:r>
        <w:rPr>
          <w:b/>
          <w:bCs/>
          <w:sz w:val="18"/>
          <w:szCs w:val="18"/>
        </w:rPr>
        <w:t xml:space="preserve">„hmotný substrát“) </w:t>
      </w:r>
      <w:r>
        <w:t>pro NG či jakoukoliv jinou organizační složku státu, a s tím spojené případné zvýšené nálady na jeho uchovávání či likvidaci, se smluvní</w:t>
      </w:r>
      <w:r>
        <w:t xml:space="preserve"> strany dohodly, že vlastníkem tohoto hmotného substrátu bude Partner. Partner však tímto zřizuje k hmotnému substrátu jako celku, tak k jeho jakékoliv části, předkupní právo ve prospěch NG. Toto předkupní právo k hmotnému substrátu se zřizuje jako právo v</w:t>
      </w:r>
      <w:r>
        <w:t>ěcné.</w:t>
      </w:r>
    </w:p>
    <w:p w:rsidR="00876017" w:rsidRDefault="006211E6">
      <w:pPr>
        <w:pStyle w:val="Zkladntext1"/>
        <w:numPr>
          <w:ilvl w:val="0"/>
          <w:numId w:val="4"/>
        </w:numPr>
        <w:shd w:val="clear" w:color="auto" w:fill="auto"/>
        <w:tabs>
          <w:tab w:val="left" w:pos="1052"/>
        </w:tabs>
        <w:ind w:left="340" w:firstLine="20"/>
        <w:rPr>
          <w:sz w:val="18"/>
          <w:szCs w:val="18"/>
        </w:rPr>
      </w:pPr>
      <w:r>
        <w:t>Touto smlouvou je též poskytováno ze strany Partnera ve prospěch NG výhradní oprávnění k výkonu práva užít předmět plnění dle této smlouvy, tedy jak hmotný substrát, tak jakýkoliv jiný výsledek činnosti Partnera dle této smlouvy, který bude chráněn z</w:t>
      </w:r>
      <w:r>
        <w:t xml:space="preserve">ákonem č. 121/2000 Sb., ve znění pozdějších předpisů (dále jen jako </w:t>
      </w:r>
      <w:r>
        <w:rPr>
          <w:b/>
          <w:bCs/>
          <w:sz w:val="18"/>
          <w:szCs w:val="18"/>
        </w:rPr>
        <w:t xml:space="preserve">„autorský zákon“, </w:t>
      </w:r>
      <w:r>
        <w:t xml:space="preserve">výše definovaný předmět plnění bude označován dále jen jako </w:t>
      </w:r>
      <w:r>
        <w:rPr>
          <w:b/>
          <w:bCs/>
          <w:sz w:val="18"/>
          <w:szCs w:val="18"/>
        </w:rPr>
        <w:t xml:space="preserve">„autorské dílo“). </w:t>
      </w:r>
      <w:r>
        <w:t>Licence k autorskému dílu je udělena jako výhradní na dobu 5 let ode dne podpisu této smlouv</w:t>
      </w:r>
      <w:r>
        <w:t xml:space="preserve">y (dále jen jako </w:t>
      </w:r>
      <w:r>
        <w:rPr>
          <w:b/>
          <w:bCs/>
          <w:sz w:val="18"/>
          <w:szCs w:val="18"/>
        </w:rPr>
        <w:t xml:space="preserve">„výhradní licence“). </w:t>
      </w:r>
      <w:r>
        <w:t xml:space="preserve">Po uplynutí doby 5 let ode dne podpisu této smlouvy je Partnerem ve prospěch NG poskytována nevýhradní licence k autorskému dílu (dále jen jako </w:t>
      </w:r>
      <w:r>
        <w:rPr>
          <w:b/>
          <w:bCs/>
          <w:sz w:val="18"/>
          <w:szCs w:val="18"/>
        </w:rPr>
        <w:t xml:space="preserve">„nevýhradní licence“), </w:t>
      </w:r>
      <w:r>
        <w:t xml:space="preserve">a to na dobu 20 let. Výhradní licence a nevýhradní </w:t>
      </w:r>
      <w:r>
        <w:t xml:space="preserve">licence budou v této smlouvě společně dále označovány jen jako </w:t>
      </w:r>
      <w:r>
        <w:rPr>
          <w:b/>
          <w:bCs/>
          <w:sz w:val="18"/>
          <w:szCs w:val="18"/>
        </w:rPr>
        <w:t>„licence“.</w:t>
      </w:r>
    </w:p>
    <w:p w:rsidR="00876017" w:rsidRDefault="006211E6">
      <w:pPr>
        <w:pStyle w:val="Zkladntext1"/>
        <w:numPr>
          <w:ilvl w:val="0"/>
          <w:numId w:val="4"/>
        </w:numPr>
        <w:shd w:val="clear" w:color="auto" w:fill="auto"/>
        <w:tabs>
          <w:tab w:val="left" w:pos="1052"/>
        </w:tabs>
        <w:ind w:left="340" w:firstLine="20"/>
      </w:pPr>
      <w:r>
        <w:t>Partner výslovně prohlašuje, že je k poskytnutí licence v takovém rozsahu oprávněn a že autorským dílem ani jeho užitím podle této smlouvy nejsou porušena autorská, osobnostní ani ji</w:t>
      </w:r>
      <w:r>
        <w:t>ná práva třetích osob. Pokud budou vůči NG uplatněny oprávněné nároky majitelů autorských práv či jakékoliv nároky jiných třetích osob v souvislosti s užitím předmětu smlouvy (práva autorská, práva příbuzná právu autorskému, práva patentová, práva k ochran</w:t>
      </w:r>
      <w:r>
        <w:t>né známce, práva z nekalé soutěže, práva osobnostní či práva vlastnická aj.), je Partner povinen je na svůj náklad vypořádat, jakož i uhradit další škodu tím NG vzniklou. Pokud mají k autorskému dílu jakákoliv práva jiné třetí osoby, než Partner (např. jak</w:t>
      </w:r>
      <w:r>
        <w:t>o spoluautoři), zavazuje se Partner zajistit, aby tyto třetí osoby poskytly NG svá práva minimálně ve stejném rozsahu, jako Partner.</w:t>
      </w:r>
    </w:p>
    <w:p w:rsidR="00876017" w:rsidRDefault="006211E6">
      <w:pPr>
        <w:pStyle w:val="Zkladntext1"/>
        <w:numPr>
          <w:ilvl w:val="0"/>
          <w:numId w:val="4"/>
        </w:numPr>
        <w:shd w:val="clear" w:color="auto" w:fill="auto"/>
        <w:tabs>
          <w:tab w:val="left" w:pos="1052"/>
        </w:tabs>
        <w:spacing w:line="271" w:lineRule="auto"/>
        <w:ind w:left="340" w:firstLine="20"/>
      </w:pPr>
      <w:r>
        <w:t xml:space="preserve">Partner poskytuje NG souhlas k jakýmkoliv úpravám či změnám autorského díla nebo jiného autorským právem chráněného prvku </w:t>
      </w:r>
      <w:r>
        <w:t xml:space="preserve">dodaného na základě této smlouvy, </w:t>
      </w:r>
      <w:proofErr w:type="spellStart"/>
      <w:r>
        <w:t>kjeho</w:t>
      </w:r>
      <w:proofErr w:type="spellEnd"/>
      <w:r>
        <w:t xml:space="preserve"> zařazení do databáze nebo spojení s jiným autorským dílem nebo neautorským výtvorem, jakož i souhlas k případnému dokončení nehotového autorského díla, pokud nebude ze strany Partnera dokončeno. Ke všem výše uvedeným</w:t>
      </w:r>
      <w:r>
        <w:t xml:space="preserve"> úkonům je NG oprávněna sama nebo prostřednictvím třetí osoby.</w:t>
      </w:r>
    </w:p>
    <w:p w:rsidR="00876017" w:rsidRDefault="006211E6">
      <w:pPr>
        <w:pStyle w:val="Zkladntext1"/>
        <w:numPr>
          <w:ilvl w:val="0"/>
          <w:numId w:val="4"/>
        </w:numPr>
        <w:shd w:val="clear" w:color="auto" w:fill="auto"/>
        <w:tabs>
          <w:tab w:val="left" w:pos="1052"/>
        </w:tabs>
        <w:ind w:left="340" w:firstLine="20"/>
      </w:pPr>
      <w:r>
        <w:t>Licence je poskytována jako opravňující, tedy NG není povinna licenci využít.</w:t>
      </w:r>
    </w:p>
    <w:p w:rsidR="00876017" w:rsidRDefault="006211E6">
      <w:pPr>
        <w:pStyle w:val="Zkladntext1"/>
        <w:numPr>
          <w:ilvl w:val="0"/>
          <w:numId w:val="4"/>
        </w:numPr>
        <w:shd w:val="clear" w:color="auto" w:fill="auto"/>
        <w:tabs>
          <w:tab w:val="left" w:pos="1052"/>
        </w:tabs>
        <w:ind w:left="340" w:firstLine="20"/>
      </w:pPr>
      <w:r>
        <w:t>Odměna za poskytnutí licence je již zahrnuta v celkovém finančním příspěvku NG.</w:t>
      </w:r>
    </w:p>
    <w:p w:rsidR="00876017" w:rsidRDefault="006211E6">
      <w:pPr>
        <w:pStyle w:val="Zkladntext1"/>
        <w:numPr>
          <w:ilvl w:val="0"/>
          <w:numId w:val="4"/>
        </w:numPr>
        <w:shd w:val="clear" w:color="auto" w:fill="auto"/>
        <w:tabs>
          <w:tab w:val="left" w:pos="1052"/>
        </w:tabs>
        <w:spacing w:line="269" w:lineRule="auto"/>
        <w:ind w:left="340" w:firstLine="20"/>
      </w:pPr>
      <w:r>
        <w:t>Licence se vztahuje na užití autors</w:t>
      </w:r>
      <w:r>
        <w:t>kého díla v původní nebo zpracované či jinak změněné podobě, samostatně nebo v souboru s jiným dílem nebo neautorským výtvorem.</w:t>
      </w:r>
    </w:p>
    <w:p w:rsidR="00876017" w:rsidRDefault="006211E6">
      <w:pPr>
        <w:pStyle w:val="Zkladntext1"/>
        <w:numPr>
          <w:ilvl w:val="0"/>
          <w:numId w:val="4"/>
        </w:numPr>
        <w:shd w:val="clear" w:color="auto" w:fill="auto"/>
        <w:tabs>
          <w:tab w:val="left" w:pos="1052"/>
        </w:tabs>
        <w:ind w:left="340" w:firstLine="20"/>
        <w:sectPr w:rsidR="00876017">
          <w:footerReference w:type="default" r:id="rId7"/>
          <w:pgSz w:w="11900" w:h="16840"/>
          <w:pgMar w:top="1417" w:right="1208" w:bottom="2004" w:left="1677" w:header="989" w:footer="3" w:gutter="0"/>
          <w:pgNumType w:start="1"/>
          <w:cols w:space="720"/>
          <w:noEndnote/>
          <w:docGrid w:linePitch="360"/>
        </w:sectPr>
      </w:pPr>
      <w:r>
        <w:t>Partner zároveň poskytuje NG souhlas, aby v jakékoliv souvislosti s autorským dílem uváděl pouze své obchodní jméno - název.</w:t>
      </w:r>
    </w:p>
    <w:p w:rsidR="00876017" w:rsidRDefault="006211E6">
      <w:pPr>
        <w:pStyle w:val="Zkladntext1"/>
        <w:numPr>
          <w:ilvl w:val="0"/>
          <w:numId w:val="4"/>
        </w:numPr>
        <w:shd w:val="clear" w:color="auto" w:fill="auto"/>
        <w:tabs>
          <w:tab w:val="left" w:pos="1235"/>
        </w:tabs>
        <w:spacing w:after="420"/>
        <w:ind w:left="540" w:firstLine="0"/>
      </w:pPr>
      <w:r>
        <w:lastRenderedPageBreak/>
        <w:t xml:space="preserve">NG je oprávněna licenci nebo její část poskytnout třetí osobě (podlicence) nebojí postoupit. Případné vystavení či jiná forma </w:t>
      </w:r>
      <w:r>
        <w:t>prezentace autorského díla a/nebo projektuje možná pouze s předchozím souhlasem NG.</w:t>
      </w:r>
    </w:p>
    <w:p w:rsidR="00876017" w:rsidRDefault="006211E6">
      <w:pPr>
        <w:pStyle w:val="Zkladntext1"/>
        <w:shd w:val="clear" w:color="auto" w:fill="auto"/>
        <w:spacing w:after="0" w:line="240" w:lineRule="auto"/>
        <w:ind w:left="160" w:firstLine="0"/>
        <w:jc w:val="center"/>
      </w:pPr>
      <w:r>
        <w:rPr>
          <w:b/>
          <w:bCs/>
        </w:rPr>
        <w:t>IV.</w:t>
      </w:r>
    </w:p>
    <w:p w:rsidR="00876017" w:rsidRDefault="006211E6">
      <w:pPr>
        <w:pStyle w:val="Zkladntext1"/>
        <w:shd w:val="clear" w:color="auto" w:fill="auto"/>
        <w:spacing w:after="400" w:line="240" w:lineRule="auto"/>
        <w:ind w:left="160" w:firstLine="0"/>
        <w:jc w:val="center"/>
      </w:pPr>
      <w:r>
        <w:rPr>
          <w:b/>
          <w:bCs/>
        </w:rPr>
        <w:t>Závěrečná ustanovení</w:t>
      </w:r>
    </w:p>
    <w:p w:rsidR="00876017" w:rsidRDefault="006211E6">
      <w:pPr>
        <w:pStyle w:val="Zkladntext1"/>
        <w:numPr>
          <w:ilvl w:val="0"/>
          <w:numId w:val="5"/>
        </w:numPr>
        <w:shd w:val="clear" w:color="auto" w:fill="auto"/>
        <w:tabs>
          <w:tab w:val="left" w:pos="527"/>
        </w:tabs>
        <w:ind w:left="540" w:hanging="360"/>
      </w:pPr>
      <w:r>
        <w:t>Tento dodatek je vyhotoven ve třech stejnopisech, z nichž dva stejnopisy obdrží NG a jeden Partner.</w:t>
      </w:r>
    </w:p>
    <w:p w:rsidR="00876017" w:rsidRDefault="006211E6">
      <w:pPr>
        <w:pStyle w:val="Zkladntext1"/>
        <w:numPr>
          <w:ilvl w:val="0"/>
          <w:numId w:val="5"/>
        </w:numPr>
        <w:shd w:val="clear" w:color="auto" w:fill="auto"/>
        <w:tabs>
          <w:tab w:val="left" w:pos="527"/>
        </w:tabs>
        <w:ind w:left="540" w:hanging="360"/>
      </w:pPr>
      <w:r>
        <w:t xml:space="preserve">Ustanovení smlouvy tímto dodatkem nedotčená se </w:t>
      </w:r>
      <w:r>
        <w:t>nemění.</w:t>
      </w:r>
    </w:p>
    <w:p w:rsidR="00876017" w:rsidRDefault="006211E6">
      <w:pPr>
        <w:pStyle w:val="Zkladntext1"/>
        <w:shd w:val="clear" w:color="auto" w:fill="auto"/>
        <w:ind w:left="540" w:hanging="360"/>
      </w:pPr>
      <w:r w:rsidRPr="006B1AF4">
        <w:rPr>
          <w:strike/>
        </w:rPr>
        <w:t>4</w:t>
      </w:r>
      <w:r w:rsidR="006B1AF4" w:rsidRPr="006B1AF4">
        <w:rPr>
          <w:strike/>
        </w:rPr>
        <w:t>.</w:t>
      </w:r>
      <w:r w:rsidRPr="006B1AF4">
        <w:rPr>
          <w:u w:val="single"/>
        </w:rPr>
        <w:t>3.</w:t>
      </w:r>
      <w:r>
        <w:t xml:space="preserve"> Tento dodatek nabývá platnosti a účinnosti dnem podpisu oprávněným zástupci obou smluvních stran. Pokud se tento dodatek vztahuje povinnost uveřejnění prostřednictvím registru smluv (dle odst. 4 tohoto článku), nabývá tento dodatek účinnosti dn</w:t>
      </w:r>
      <w:r>
        <w:t>em uveřejnění.</w:t>
      </w:r>
    </w:p>
    <w:p w:rsidR="00876017" w:rsidRDefault="006211E6">
      <w:pPr>
        <w:pStyle w:val="Zkladntext1"/>
        <w:shd w:val="clear" w:color="auto" w:fill="auto"/>
        <w:spacing w:line="271" w:lineRule="auto"/>
        <w:ind w:left="540" w:hanging="360"/>
      </w:pPr>
      <w:r w:rsidRPr="006B1AF4">
        <w:rPr>
          <w:smallCaps/>
          <w:strike/>
          <w:sz w:val="20"/>
          <w:szCs w:val="20"/>
        </w:rPr>
        <w:t>5</w:t>
      </w:r>
      <w:r w:rsidR="006B1AF4" w:rsidRPr="006B1AF4">
        <w:rPr>
          <w:smallCaps/>
          <w:strike/>
          <w:sz w:val="20"/>
          <w:szCs w:val="20"/>
        </w:rPr>
        <w:t>.</w:t>
      </w:r>
      <w:r>
        <w:rPr>
          <w:smallCaps/>
          <w:sz w:val="20"/>
          <w:szCs w:val="20"/>
          <w:u w:val="single"/>
        </w:rPr>
        <w:t>4.</w:t>
      </w:r>
      <w:r>
        <w:t xml:space="preserve"> Pro případ povinnosti uveřej</w:t>
      </w:r>
      <w:r w:rsidR="006B1AF4">
        <w:t>nění tohoto dodatku dle zákona č</w:t>
      </w:r>
      <w:r>
        <w:t>. 340/2015 Sb., o zvláštních podmínkách účinnosti některých smluv, uveřejňování těchto smluv a o registru smluv (zákon o registru smluv) smluvní strany sjednávají, že uveřejněn</w:t>
      </w:r>
      <w:r>
        <w:t>í provede NG. Obě strany berou na vědomí, že nebudou uveřejněny pouze ty informace, které nelze poskytnout podle předpisů upravujících svobodný přístup k informacím. Považuje-li druhá smluvní strana některé informace uvedené v tomto dodatku za informace, k</w:t>
      </w:r>
      <w:r>
        <w:t>teré nemají být uveřejněny v registru smluv dle zákona o registru smluv, je povinna na to NG současně s uzavřením tohoto dodatku písemně upozornit. Partner výslovně souhlasí s tím, že NG v případě pochybností o tom, zdaje dána povinnost uveřejnění tohoto d</w:t>
      </w:r>
      <w:r>
        <w:t>odatku v registru smluv, tento dodatek v zájmu transparentnosti a právní jistoty uveřejní.</w:t>
      </w:r>
    </w:p>
    <w:p w:rsidR="00876017" w:rsidRDefault="006B1AF4">
      <w:pPr>
        <w:pStyle w:val="Zkladntext1"/>
        <w:shd w:val="clear" w:color="auto" w:fill="auto"/>
        <w:spacing w:after="940"/>
        <w:ind w:left="540" w:hanging="360"/>
      </w:pPr>
      <w:r w:rsidRPr="006B1AF4">
        <w:rPr>
          <w:strike/>
        </w:rPr>
        <w:t>7.</w:t>
      </w:r>
      <w:r w:rsidR="006211E6" w:rsidRPr="006B1AF4">
        <w:rPr>
          <w:u w:val="single"/>
        </w:rPr>
        <w:t>5.</w:t>
      </w:r>
      <w:r w:rsidR="006211E6">
        <w:t xml:space="preserve"> Obě smluvní strany prohlašují, že tento dodatek je projevem jejich svobodné, vážně míněné a omylu prosté vůle, což stvrzují svými podpisy.</w:t>
      </w:r>
    </w:p>
    <w:p w:rsidR="00876017" w:rsidRDefault="006B1AF4">
      <w:pPr>
        <w:spacing w:after="346" w:line="14" w:lineRule="exact"/>
      </w:pPr>
      <w:r w:rsidRPr="006B1AF4">
        <w:rPr>
          <w:strike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1186815</wp:posOffset>
                </wp:positionH>
                <wp:positionV relativeFrom="paragraph">
                  <wp:posOffset>13970</wp:posOffset>
                </wp:positionV>
                <wp:extent cx="5349875" cy="9550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875" cy="955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6017" w:rsidRDefault="006B1AF4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398"/>
                              </w:tabs>
                              <w:spacing w:after="0" w:line="240" w:lineRule="auto"/>
                              <w:ind w:firstLine="0"/>
                            </w:pPr>
                            <w:r>
                              <w:t>V Praze dne  27. 6. 2018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 ……………</w:t>
                            </w:r>
                            <w:bookmarkStart w:id="7" w:name="_GoBack"/>
                            <w:bookmarkEnd w:id="7"/>
                            <w:r>
                              <w:t>… dne  22. 6. 2018</w:t>
                            </w:r>
                          </w:p>
                          <w:p w:rsidR="006B1AF4" w:rsidRDefault="006B1AF4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398"/>
                              </w:tabs>
                              <w:spacing w:after="0" w:line="240" w:lineRule="auto"/>
                              <w:ind w:firstLine="0"/>
                            </w:pPr>
                          </w:p>
                          <w:p w:rsidR="006B1AF4" w:rsidRDefault="006B1AF4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398"/>
                              </w:tabs>
                              <w:spacing w:after="0" w:line="240" w:lineRule="auto"/>
                              <w:ind w:firstLine="0"/>
                            </w:pPr>
                          </w:p>
                          <w:p w:rsidR="006B1AF4" w:rsidRDefault="006B1AF4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398"/>
                              </w:tabs>
                              <w:spacing w:after="0" w:line="240" w:lineRule="auto"/>
                              <w:ind w:firstLine="0"/>
                            </w:pPr>
                          </w:p>
                          <w:p w:rsidR="006B1AF4" w:rsidRDefault="006B1AF4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398"/>
                              </w:tabs>
                              <w:spacing w:after="0" w:line="240" w:lineRule="auto"/>
                              <w:ind w:firstLine="0"/>
                            </w:pPr>
                          </w:p>
                          <w:p w:rsidR="006B1AF4" w:rsidRDefault="006B1AF4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398"/>
                              </w:tabs>
                              <w:spacing w:after="0" w:line="240" w:lineRule="auto"/>
                              <w:ind w:firstLine="0"/>
                            </w:pPr>
                            <w:r>
                              <w:t xml:space="preserve">Jiří Fajt                                                                                                     </w:t>
                            </w:r>
                            <w:r>
                              <w:tab/>
                              <w:t>Kateřina Šedá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93.45pt;margin-top:1.1pt;width:421.25pt;height:75.2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" filled="f" stroked="f">
                <v:textbox inset="0,0,0,0">
                  <w:txbxContent>
                    <w:p w:rsidR="00876017" w:rsidRDefault="006B1AF4">
                      <w:pPr>
                        <w:pStyle w:val="Zkladntext1"/>
                        <w:shd w:val="clear" w:color="auto" w:fill="auto"/>
                        <w:tabs>
                          <w:tab w:val="left" w:leader="dot" w:pos="2398"/>
                        </w:tabs>
                        <w:spacing w:after="0" w:line="240" w:lineRule="auto"/>
                        <w:ind w:firstLine="0"/>
                      </w:pPr>
                      <w:r>
                        <w:t>V Praze dne  27. 6. 2018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 ……………</w:t>
                      </w:r>
                      <w:bookmarkStart w:id="8" w:name="_GoBack"/>
                      <w:bookmarkEnd w:id="8"/>
                      <w:r>
                        <w:t>… dne  22. 6. 2018</w:t>
                      </w:r>
                    </w:p>
                    <w:p w:rsidR="006B1AF4" w:rsidRDefault="006B1AF4">
                      <w:pPr>
                        <w:pStyle w:val="Zkladntext1"/>
                        <w:shd w:val="clear" w:color="auto" w:fill="auto"/>
                        <w:tabs>
                          <w:tab w:val="left" w:leader="dot" w:pos="2398"/>
                        </w:tabs>
                        <w:spacing w:after="0" w:line="240" w:lineRule="auto"/>
                        <w:ind w:firstLine="0"/>
                      </w:pPr>
                    </w:p>
                    <w:p w:rsidR="006B1AF4" w:rsidRDefault="006B1AF4">
                      <w:pPr>
                        <w:pStyle w:val="Zkladntext1"/>
                        <w:shd w:val="clear" w:color="auto" w:fill="auto"/>
                        <w:tabs>
                          <w:tab w:val="left" w:leader="dot" w:pos="2398"/>
                        </w:tabs>
                        <w:spacing w:after="0" w:line="240" w:lineRule="auto"/>
                        <w:ind w:firstLine="0"/>
                      </w:pPr>
                    </w:p>
                    <w:p w:rsidR="006B1AF4" w:rsidRDefault="006B1AF4">
                      <w:pPr>
                        <w:pStyle w:val="Zkladntext1"/>
                        <w:shd w:val="clear" w:color="auto" w:fill="auto"/>
                        <w:tabs>
                          <w:tab w:val="left" w:leader="dot" w:pos="2398"/>
                        </w:tabs>
                        <w:spacing w:after="0" w:line="240" w:lineRule="auto"/>
                        <w:ind w:firstLine="0"/>
                      </w:pPr>
                    </w:p>
                    <w:p w:rsidR="006B1AF4" w:rsidRDefault="006B1AF4">
                      <w:pPr>
                        <w:pStyle w:val="Zkladntext1"/>
                        <w:shd w:val="clear" w:color="auto" w:fill="auto"/>
                        <w:tabs>
                          <w:tab w:val="left" w:leader="dot" w:pos="2398"/>
                        </w:tabs>
                        <w:spacing w:after="0" w:line="240" w:lineRule="auto"/>
                        <w:ind w:firstLine="0"/>
                      </w:pPr>
                    </w:p>
                    <w:p w:rsidR="006B1AF4" w:rsidRDefault="006B1AF4">
                      <w:pPr>
                        <w:pStyle w:val="Zkladntext1"/>
                        <w:shd w:val="clear" w:color="auto" w:fill="auto"/>
                        <w:tabs>
                          <w:tab w:val="left" w:leader="dot" w:pos="2398"/>
                        </w:tabs>
                        <w:spacing w:after="0" w:line="240" w:lineRule="auto"/>
                        <w:ind w:firstLine="0"/>
                      </w:pPr>
                      <w:r>
                        <w:t xml:space="preserve">Jiří Fajt                                                                                                     </w:t>
                      </w:r>
                      <w:r>
                        <w:tab/>
                        <w:t>Kateřina Šedá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76017" w:rsidRPr="006B1AF4" w:rsidRDefault="006B1AF4" w:rsidP="006B1AF4">
      <w:pPr>
        <w:rPr>
          <w:rFonts w:ascii="Times New Roman" w:hAnsi="Times New Roman" w:cs="Times New Roman"/>
          <w:noProof/>
          <w:sz w:val="19"/>
          <w:szCs w:val="19"/>
          <w:lang w:bidi="ar-SA"/>
        </w:rPr>
      </w:pPr>
      <w:r>
        <w:rPr>
          <w:noProof/>
          <w:lang w:bidi="ar-SA"/>
        </w:rPr>
        <w:t xml:space="preserve">   </w:t>
      </w:r>
      <w:r w:rsidR="006211E6" w:rsidRPr="006B1AF4">
        <w:rPr>
          <w:rFonts w:ascii="Times New Roman" w:hAnsi="Times New Roman" w:cs="Times New Roman"/>
          <w:sz w:val="19"/>
          <w:szCs w:val="19"/>
        </w:rPr>
        <w:t>Generální ředitel</w:t>
      </w:r>
    </w:p>
    <w:p w:rsidR="00876017" w:rsidRDefault="00876017">
      <w:pPr>
        <w:spacing w:after="846" w:line="14" w:lineRule="exact"/>
      </w:pPr>
    </w:p>
    <w:sectPr w:rsidR="00876017">
      <w:footerReference w:type="default" r:id="rId8"/>
      <w:pgSz w:w="11900" w:h="16840"/>
      <w:pgMar w:top="1417" w:right="1208" w:bottom="2004" w:left="1677" w:header="98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1E6" w:rsidRDefault="006211E6">
      <w:r>
        <w:separator/>
      </w:r>
    </w:p>
  </w:endnote>
  <w:endnote w:type="continuationSeparator" w:id="0">
    <w:p w:rsidR="006211E6" w:rsidRDefault="0062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17" w:rsidRDefault="006211E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6542405</wp:posOffset>
              </wp:positionH>
              <wp:positionV relativeFrom="page">
                <wp:posOffset>9936480</wp:posOffset>
              </wp:positionV>
              <wp:extent cx="52705" cy="889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6017" w:rsidRDefault="006211E6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B1AF4" w:rsidRPr="006B1AF4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15.15pt;margin-top:782.4pt;width:4.15pt;height: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" filled="f" stroked="f">
              <v:textbox style="mso-fit-shape-to-text:t" inset="0,0,0,0">
                <w:txbxContent>
                  <w:p w:rsidR="00876017" w:rsidRDefault="006211E6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B1AF4" w:rsidRPr="006B1AF4">
                      <w:rPr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17" w:rsidRDefault="006211E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6687185</wp:posOffset>
              </wp:positionH>
              <wp:positionV relativeFrom="page">
                <wp:posOffset>9925050</wp:posOffset>
              </wp:positionV>
              <wp:extent cx="54610" cy="8890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6017" w:rsidRDefault="006211E6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B1AF4" w:rsidRPr="006B1AF4">
                            <w:rPr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8" type="#_x0000_t202" style="position:absolute;margin-left:526.55pt;margin-top:781.5pt;width:4.3pt;height: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" filled="f" stroked="f">
              <v:textbox style="mso-fit-shape-to-text:t" inset="0,0,0,0">
                <w:txbxContent>
                  <w:p w:rsidR="00876017" w:rsidRDefault="006211E6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B1AF4" w:rsidRPr="006B1AF4">
                      <w:rPr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1E6" w:rsidRDefault="006211E6"/>
  </w:footnote>
  <w:footnote w:type="continuationSeparator" w:id="0">
    <w:p w:rsidR="006211E6" w:rsidRDefault="006211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43E"/>
    <w:multiLevelType w:val="multilevel"/>
    <w:tmpl w:val="3CB07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A93328"/>
    <w:multiLevelType w:val="multilevel"/>
    <w:tmpl w:val="9FE46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926C89"/>
    <w:multiLevelType w:val="multilevel"/>
    <w:tmpl w:val="1EDC3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F00D00"/>
    <w:multiLevelType w:val="multilevel"/>
    <w:tmpl w:val="B8E6031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282CAE"/>
    <w:multiLevelType w:val="multilevel"/>
    <w:tmpl w:val="9B58F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17"/>
    <w:rsid w:val="006211E6"/>
    <w:rsid w:val="006B1AF4"/>
    <w:rsid w:val="0087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2D5E"/>
  <w15:docId w15:val="{1DB6F78D-9CCA-419B-8045-DE43C6CF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76" w:lineRule="auto"/>
      <w:ind w:firstLine="1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0" w:line="288" w:lineRule="auto"/>
      <w:ind w:left="362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 w:line="276" w:lineRule="auto"/>
      <w:ind w:firstLine="1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1071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kopirka1.PK-20180710112243</dc:title>
  <dc:subject/>
  <dc:creator/>
  <cp:keywords/>
  <cp:lastModifiedBy>Zdenka Šímová</cp:lastModifiedBy>
  <cp:revision>2</cp:revision>
  <dcterms:created xsi:type="dcterms:W3CDTF">2018-07-10T09:03:00Z</dcterms:created>
  <dcterms:modified xsi:type="dcterms:W3CDTF">2018-07-10T09:11:00Z</dcterms:modified>
</cp:coreProperties>
</file>