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77777777" w:rsidR="005A584D" w:rsidRPr="005A584D" w:rsidRDefault="005A584D" w:rsidP="005A584D">
      <w:pPr>
        <w:pStyle w:val="Nzev"/>
        <w:jc w:val="left"/>
        <w:outlineLvl w:val="0"/>
        <w:rPr>
          <w:rFonts w:ascii="Arial" w:hAnsi="Arial" w:cs="Arial"/>
          <w:smallCaps/>
          <w:sz w:val="22"/>
          <w:szCs w:val="22"/>
        </w:rPr>
      </w:pPr>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354A4AFC"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751166">
        <w:rPr>
          <w:rFonts w:ascii="Arial" w:hAnsi="Arial" w:cs="Arial"/>
          <w:sz w:val="22"/>
          <w:szCs w:val="22"/>
        </w:rPr>
        <w:t>Výměna podlahy a oprava rámu návěsu BSS.</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 xml:space="preserve">Ing. Václavem Pelouchem, ředitelem </w:t>
      </w:r>
      <w:proofErr w:type="spellStart"/>
      <w:r w:rsidR="00590C5F">
        <w:rPr>
          <w:rFonts w:ascii="Arial" w:hAnsi="Arial" w:cs="Arial"/>
          <w:sz w:val="22"/>
          <w:szCs w:val="22"/>
        </w:rPr>
        <w:t>technicko-provozní</w:t>
      </w:r>
      <w:proofErr w:type="spellEnd"/>
      <w:r w:rsidR="00590C5F">
        <w:rPr>
          <w:rFonts w:ascii="Arial" w:hAnsi="Arial" w:cs="Arial"/>
          <w:sz w:val="22"/>
          <w:szCs w:val="22"/>
        </w:rPr>
        <w:t xml:space="preserve"> správy ND</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527439F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A15E18">
        <w:rPr>
          <w:rFonts w:ascii="Arial" w:hAnsi="Arial" w:cs="Arial"/>
          <w:sz w:val="22"/>
          <w:szCs w:val="22"/>
        </w:rPr>
        <w:t>Ing. Ladislavem Dostálem,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A15E18">
        <w:rPr>
          <w:rFonts w:ascii="Arial" w:hAnsi="Arial" w:cs="Arial"/>
          <w:sz w:val="22"/>
          <w:szCs w:val="22"/>
        </w:rPr>
        <w:t>616 83 787</w:t>
      </w:r>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414968C1" w14:textId="77777777" w:rsidR="002B6ACC" w:rsidRPr="005A584D" w:rsidRDefault="002B6ACC" w:rsidP="005A584D">
      <w:pPr>
        <w:pStyle w:val="Nzev"/>
        <w:jc w:val="left"/>
        <w:outlineLvl w:val="0"/>
        <w:rPr>
          <w:rFonts w:ascii="Arial" w:hAnsi="Arial" w:cs="Arial"/>
          <w:b w:val="0"/>
          <w:sz w:val="22"/>
          <w:szCs w:val="22"/>
        </w:rPr>
      </w:pPr>
    </w:p>
    <w:p w14:paraId="384499DE" w14:textId="4A5E7DC8"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734DC9" w:rsidRPr="00734DC9">
        <w:t xml:space="preserve"> </w:t>
      </w:r>
      <w:r w:rsidR="00734DC9" w:rsidRPr="00734DC9">
        <w:rPr>
          <w:rFonts w:ascii="Arial" w:hAnsi="Arial" w:cs="Arial"/>
          <w:sz w:val="26"/>
          <w:szCs w:val="26"/>
        </w:rPr>
        <w:t>T004/18V/0000857</w:t>
      </w:r>
      <w:r w:rsidR="00734DC9">
        <w:rPr>
          <w:rFonts w:ascii="Arial" w:hAnsi="Arial" w:cs="Arial"/>
          <w:sz w:val="26"/>
          <w:szCs w:val="26"/>
        </w:rPr>
        <w:t>1</w:t>
      </w:r>
    </w:p>
    <w:p w14:paraId="3ACFA6C0"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občanského zákona č. 89/2012 Sb.</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4310B4EE"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ve </w:t>
      </w:r>
      <w:r w:rsidR="00A15E18" w:rsidRPr="00734DC9">
        <w:rPr>
          <w:rFonts w:ascii="Arial" w:hAnsi="Arial" w:cs="Arial"/>
          <w:sz w:val="20"/>
        </w:rPr>
        <w:t>výměně podlahy a opravě rámu</w:t>
      </w:r>
      <w:r w:rsidR="005A584D" w:rsidRPr="00734DC9">
        <w:rPr>
          <w:rFonts w:ascii="Arial" w:hAnsi="Arial" w:cs="Arial"/>
          <w:sz w:val="20"/>
        </w:rPr>
        <w:t xml:space="preserve">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6FCE022F" w:rsidR="002B6ACC" w:rsidRPr="00734DC9" w:rsidRDefault="00A15E18" w:rsidP="007C3470">
      <w:pPr>
        <w:tabs>
          <w:tab w:val="left" w:pos="426"/>
        </w:tabs>
        <w:jc w:val="both"/>
        <w:rPr>
          <w:rFonts w:ascii="Arial" w:hAnsi="Arial" w:cs="Arial"/>
          <w:sz w:val="20"/>
        </w:rPr>
      </w:pPr>
      <w:r w:rsidRPr="00734DC9">
        <w:rPr>
          <w:rFonts w:ascii="Arial" w:hAnsi="Arial" w:cs="Arial"/>
          <w:sz w:val="20"/>
        </w:rPr>
        <w:t>Výměna podlahy  a oprava rámu návěsu BSS, typ NL 24.18.16.</w:t>
      </w:r>
      <w:r w:rsidR="00AD0069" w:rsidRPr="00734DC9">
        <w:rPr>
          <w:rFonts w:ascii="Arial" w:hAnsi="Arial" w:cs="Arial"/>
          <w:sz w:val="20"/>
        </w:rPr>
        <w:t>, RZ 1A1 5511</w:t>
      </w:r>
    </w:p>
    <w:p w14:paraId="6A3C46B9"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Demontáž původní podlahy</w:t>
      </w:r>
    </w:p>
    <w:p w14:paraId="257208B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Příprava pro pískování (zajištění el. Instalace a vzduchové instalace)</w:t>
      </w:r>
    </w:p>
    <w:p w14:paraId="22C42DD8"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Pískování rámu podlahy</w:t>
      </w:r>
    </w:p>
    <w:p w14:paraId="5B1F6C2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rámu podlahy a podvozku (oprava případných poškození)</w:t>
      </w:r>
    </w:p>
    <w:p w14:paraId="5F84958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Doplnění příček pod novou podlahu (pro spoje)</w:t>
      </w:r>
    </w:p>
    <w:p w14:paraId="7C68CD2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Laková úprava rámu</w:t>
      </w:r>
    </w:p>
    <w:p w14:paraId="5B926592"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el. Instalace a vzduchové instalace</w:t>
      </w:r>
    </w:p>
    <w:p w14:paraId="1A4F722D" w14:textId="4A0B38E1"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 xml:space="preserve">Montáž nové podlahy (překližka </w:t>
      </w:r>
      <w:proofErr w:type="spellStart"/>
      <w:r w:rsidRPr="00734DC9">
        <w:rPr>
          <w:rFonts w:ascii="Arial Narrow" w:hAnsi="Arial Narrow" w:cs="Arial"/>
          <w:sz w:val="20"/>
        </w:rPr>
        <w:t>tl</w:t>
      </w:r>
      <w:proofErr w:type="spellEnd"/>
      <w:r w:rsidRPr="00734DC9">
        <w:rPr>
          <w:rFonts w:ascii="Arial Narrow" w:hAnsi="Arial Narrow" w:cs="Arial"/>
          <w:sz w:val="20"/>
        </w:rPr>
        <w:t>. 21mm)</w:t>
      </w:r>
    </w:p>
    <w:p w14:paraId="699F30E0"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Konečná úprava (tmelení podlahy, doplnění nýtů bočních plechů, lišty nad blatníky aj.)</w:t>
      </w:r>
    </w:p>
    <w:p w14:paraId="1D72B9B1" w14:textId="3E1D58BB"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 </w:t>
      </w:r>
      <w:r w:rsidR="00AD0069" w:rsidRPr="00734DC9">
        <w:rPr>
          <w:rFonts w:ascii="Arial" w:hAnsi="Arial" w:cs="Arial"/>
          <w:sz w:val="20"/>
        </w:rPr>
        <w:t>T004/18V/00008571</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22CCB402"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934C71" w:rsidRPr="00734DC9">
        <w:rPr>
          <w:rFonts w:ascii="Arial" w:hAnsi="Arial" w:cs="Arial"/>
          <w:sz w:val="20"/>
        </w:rPr>
        <w:t>2</w:t>
      </w:r>
      <w:r w:rsidR="00590C5F" w:rsidRPr="00734DC9">
        <w:rPr>
          <w:rFonts w:ascii="Arial" w:hAnsi="Arial" w:cs="Arial"/>
          <w:sz w:val="20"/>
        </w:rPr>
        <w:t>. 7 2018</w:t>
      </w:r>
    </w:p>
    <w:p w14:paraId="3A44AEDE" w14:textId="71BFC875"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590C5F" w:rsidRPr="00734DC9">
        <w:rPr>
          <w:rFonts w:ascii="Arial" w:hAnsi="Arial" w:cs="Arial"/>
          <w:sz w:val="20"/>
        </w:rPr>
        <w:t>7. 9. 2018</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77777777"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 č. 526/90 Sb. o cenách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000ED0A9"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734DC9" w:rsidRPr="00734DC9">
        <w:rPr>
          <w:rFonts w:ascii="Arial" w:hAnsi="Arial" w:cs="Arial"/>
          <w:b/>
          <w:sz w:val="20"/>
        </w:rPr>
        <w:t>130 000</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zákona. </w:t>
      </w:r>
    </w:p>
    <w:p w14:paraId="3181D3B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lastRenderedPageBreak/>
        <w:t>Splatnost ceny za dílo se sjednává 14 dnů od data doručení faktury objednateli. Za okamžik uhrazení ceny za dílo se považuje datum, kdy byla předmětná částka odepsána z účtu objednatele.</w:t>
      </w:r>
    </w:p>
    <w:p w14:paraId="0215EB3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734DC9">
        <w:rPr>
          <w:rFonts w:ascii="Arial" w:hAnsi="Arial" w:cs="Arial"/>
          <w:sz w:val="20"/>
        </w:rPr>
        <w:t>Sb</w:t>
      </w:r>
      <w:proofErr w:type="spellEnd"/>
      <w:r w:rsidRPr="00734DC9">
        <w:rPr>
          <w:rFonts w:ascii="Arial" w:hAnsi="Arial" w:cs="Arial"/>
          <w:sz w:val="20"/>
        </w:rPr>
        <w:t xml:space="preserve"> o DPH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NOZ.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5011619F"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w:t>
      </w:r>
      <w:r w:rsidR="00590C5F" w:rsidRPr="00734DC9">
        <w:rPr>
          <w:rFonts w:ascii="Arial" w:hAnsi="Arial" w:cs="Arial"/>
          <w:sz w:val="20"/>
        </w:rPr>
        <w:t>a Rudolf Germář,</w:t>
      </w:r>
      <w:r w:rsidR="00590C5F" w:rsidRPr="00BF796F">
        <w:rPr>
          <w:rFonts w:ascii="Arial" w:hAnsi="Arial" w:cs="Arial"/>
          <w:sz w:val="20"/>
        </w:rPr>
        <w:t>.</w:t>
      </w:r>
    </w:p>
    <w:p w14:paraId="32C3918F" w14:textId="6215F506"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bookmarkStart w:id="0" w:name="_GoBack"/>
      <w:bookmarkEnd w:id="0"/>
      <w:r w:rsidR="00590C5F" w:rsidRPr="00734DC9">
        <w:rPr>
          <w:rFonts w:ascii="Arial" w:hAnsi="Arial" w:cs="Arial"/>
          <w:sz w:val="20"/>
        </w:rPr>
        <w:t>.</w:t>
      </w:r>
    </w:p>
    <w:p w14:paraId="785E4B17" w14:textId="77777777"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305724F9" w14:textId="77777777" w:rsidR="00734DC9" w:rsidRDefault="00734DC9" w:rsidP="005A584D">
      <w:pPr>
        <w:pStyle w:val="Zkladntextodsazen3"/>
        <w:tabs>
          <w:tab w:val="clear" w:pos="284"/>
          <w:tab w:val="left" w:pos="426"/>
        </w:tabs>
        <w:ind w:left="0"/>
        <w:rPr>
          <w:rFonts w:ascii="Arial" w:hAnsi="Arial" w:cs="Arial"/>
          <w:b/>
          <w:sz w:val="20"/>
        </w:rPr>
      </w:pPr>
    </w:p>
    <w:p w14:paraId="28F4C15C" w14:textId="77777777" w:rsidR="00734DC9" w:rsidRDefault="00734DC9" w:rsidP="005A584D">
      <w:pPr>
        <w:pStyle w:val="Zkladntextodsazen3"/>
        <w:tabs>
          <w:tab w:val="clear" w:pos="284"/>
          <w:tab w:val="left" w:pos="426"/>
        </w:tabs>
        <w:ind w:left="0"/>
        <w:rPr>
          <w:rFonts w:ascii="Arial" w:hAnsi="Arial" w:cs="Arial"/>
          <w:b/>
          <w:sz w:val="20"/>
        </w:rPr>
      </w:pPr>
    </w:p>
    <w:p w14:paraId="454CDED9" w14:textId="77777777" w:rsidR="00734DC9" w:rsidRDefault="00734DC9" w:rsidP="005A584D">
      <w:pPr>
        <w:pStyle w:val="Zkladntextodsazen3"/>
        <w:tabs>
          <w:tab w:val="clear" w:pos="284"/>
          <w:tab w:val="left" w:pos="426"/>
        </w:tabs>
        <w:ind w:left="0"/>
        <w:rPr>
          <w:rFonts w:ascii="Arial" w:hAnsi="Arial" w:cs="Arial"/>
          <w:b/>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lastRenderedPageBreak/>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 xml:space="preserve">Zhotovitel splní svoji povinnost provést dílo dle předmětu smlouvy jeho řádným ukončením a předáním objednateli na pracovišti. Dílo je dokončeno, pokud byla předvedena jeho způsobilost sloužit smluvenému účelu / </w:t>
      </w:r>
      <w:r w:rsidRPr="00734DC9">
        <w:rPr>
          <w:rFonts w:ascii="Arial" w:hAnsi="Arial" w:cs="Arial"/>
          <w:i/>
          <w:sz w:val="20"/>
        </w:rPr>
        <w:t>varianta: úspěšným provedením zkoušek díla</w:t>
      </w:r>
      <w:r w:rsidRPr="00734DC9">
        <w:rPr>
          <w:rFonts w:ascii="Arial" w:hAnsi="Arial" w:cs="Arial"/>
          <w:sz w:val="20"/>
        </w:rPr>
        <w:t>.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77777777"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 xml:space="preserve">Ke sjednání dodatků k této smlouvě jsou oprávněni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 č. 89/2012 Sb.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488F1E24" w:rsidR="00590C5F" w:rsidRDefault="00590C5F"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 xml:space="preserve">Ing. </w:t>
      </w:r>
      <w:proofErr w:type="spellStart"/>
      <w:r>
        <w:rPr>
          <w:rFonts w:ascii="Arial" w:hAnsi="Arial" w:cs="Arial"/>
          <w:sz w:val="22"/>
          <w:szCs w:val="22"/>
          <w:lang w:val="en-US"/>
        </w:rPr>
        <w:t>Ladislav</w:t>
      </w:r>
      <w:proofErr w:type="spellEnd"/>
      <w:r>
        <w:rPr>
          <w:rFonts w:ascii="Arial" w:hAnsi="Arial" w:cs="Arial"/>
          <w:sz w:val="22"/>
          <w:szCs w:val="22"/>
          <w:lang w:val="en-US"/>
        </w:rPr>
        <w:t xml:space="preserve"> </w:t>
      </w:r>
      <w:proofErr w:type="spellStart"/>
      <w:r>
        <w:rPr>
          <w:rFonts w:ascii="Arial" w:hAnsi="Arial" w:cs="Arial"/>
          <w:sz w:val="22"/>
          <w:szCs w:val="22"/>
          <w:lang w:val="en-US"/>
        </w:rPr>
        <w:t>Dostál</w:t>
      </w:r>
      <w:proofErr w:type="spellEnd"/>
      <w:r w:rsidR="000472D7">
        <w:rPr>
          <w:rFonts w:ascii="Arial" w:hAnsi="Arial" w:cs="Arial"/>
          <w:sz w:val="22"/>
          <w:szCs w:val="22"/>
          <w:lang w:val="en-US"/>
        </w:rPr>
        <w:tab/>
      </w:r>
      <w:r>
        <w:rPr>
          <w:rFonts w:ascii="Arial" w:hAnsi="Arial" w:cs="Arial"/>
          <w:sz w:val="22"/>
          <w:szCs w:val="22"/>
          <w:lang w:val="en-US"/>
        </w:rPr>
        <w:t>Ing. Václav Pelouch</w:t>
      </w:r>
    </w:p>
    <w:p w14:paraId="2B6F5BD0" w14:textId="55F922B9" w:rsidR="00590C5F" w:rsidRDefault="00751166" w:rsidP="00590C5F">
      <w:pPr>
        <w:pStyle w:val="Zkladntextodsazen3"/>
        <w:tabs>
          <w:tab w:val="clear" w:pos="284"/>
          <w:tab w:val="clear" w:pos="1418"/>
          <w:tab w:val="left" w:pos="4536"/>
        </w:tabs>
        <w:ind w:left="0"/>
        <w:rPr>
          <w:rFonts w:ascii="Arial" w:hAnsi="Arial" w:cs="Arial"/>
          <w:sz w:val="22"/>
          <w:szCs w:val="22"/>
          <w:lang w:val="en-US"/>
        </w:rPr>
      </w:pPr>
      <w:proofErr w:type="spellStart"/>
      <w:r>
        <w:rPr>
          <w:rFonts w:ascii="Arial" w:hAnsi="Arial" w:cs="Arial"/>
          <w:sz w:val="22"/>
          <w:szCs w:val="22"/>
          <w:lang w:val="en-US"/>
        </w:rPr>
        <w:t>jednatel</w:t>
      </w:r>
      <w:proofErr w:type="spellEnd"/>
      <w:r w:rsidR="00590C5F">
        <w:rPr>
          <w:rFonts w:ascii="Arial" w:hAnsi="Arial" w:cs="Arial"/>
          <w:sz w:val="22"/>
          <w:szCs w:val="22"/>
          <w:lang w:val="en-US"/>
        </w:rPr>
        <w:tab/>
      </w:r>
      <w:proofErr w:type="spellStart"/>
      <w:r w:rsidR="00590C5F">
        <w:rPr>
          <w:rFonts w:ascii="Arial" w:hAnsi="Arial" w:cs="Arial"/>
          <w:sz w:val="22"/>
          <w:szCs w:val="22"/>
          <w:lang w:val="en-US"/>
        </w:rPr>
        <w:t>ředitel</w:t>
      </w:r>
      <w:proofErr w:type="spellEnd"/>
      <w:r w:rsidR="00590C5F">
        <w:rPr>
          <w:rFonts w:ascii="Arial" w:hAnsi="Arial" w:cs="Arial"/>
          <w:sz w:val="22"/>
          <w:szCs w:val="22"/>
          <w:lang w:val="en-US"/>
        </w:rPr>
        <w:t xml:space="preserve"> </w:t>
      </w:r>
      <w:proofErr w:type="spellStart"/>
      <w:r w:rsidR="00590C5F">
        <w:rPr>
          <w:rFonts w:ascii="Arial" w:hAnsi="Arial" w:cs="Arial"/>
          <w:sz w:val="22"/>
          <w:szCs w:val="22"/>
          <w:lang w:val="en-US"/>
        </w:rPr>
        <w:t>technicko-provozní</w:t>
      </w:r>
      <w:proofErr w:type="spellEnd"/>
      <w:r w:rsidR="00590C5F">
        <w:rPr>
          <w:rFonts w:ascii="Arial" w:hAnsi="Arial" w:cs="Arial"/>
          <w:sz w:val="22"/>
          <w:szCs w:val="22"/>
          <w:lang w:val="en-US"/>
        </w:rPr>
        <w:t xml:space="preserve"> </w:t>
      </w:r>
      <w:proofErr w:type="spellStart"/>
      <w:r w:rsidR="00590C5F">
        <w:rPr>
          <w:rFonts w:ascii="Arial" w:hAnsi="Arial" w:cs="Arial"/>
          <w:sz w:val="22"/>
          <w:szCs w:val="22"/>
          <w:lang w:val="en-US"/>
        </w:rPr>
        <w:t>správy</w:t>
      </w:r>
      <w:proofErr w:type="spellEnd"/>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CA71" w14:textId="77777777" w:rsidR="00905D87" w:rsidRDefault="00905D87">
      <w:r>
        <w:separator/>
      </w:r>
    </w:p>
  </w:endnote>
  <w:endnote w:type="continuationSeparator" w:id="0">
    <w:p w14:paraId="7BD4DE0D" w14:textId="77777777" w:rsidR="00905D87" w:rsidRDefault="0090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358AA863"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BF796F">
      <w:rPr>
        <w:rFonts w:ascii="Arial" w:hAnsi="Arial" w:cs="Arial"/>
        <w:noProof/>
        <w:sz w:val="18"/>
        <w:szCs w:val="18"/>
      </w:rPr>
      <w:t>4</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2815" w14:textId="77777777" w:rsidR="00905D87" w:rsidRDefault="00905D87">
      <w:r>
        <w:separator/>
      </w:r>
    </w:p>
  </w:footnote>
  <w:footnote w:type="continuationSeparator" w:id="0">
    <w:p w14:paraId="7F622819" w14:textId="77777777" w:rsidR="00905D87" w:rsidRDefault="00905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265"/>
    <w:rsid w:val="007F3F7C"/>
    <w:rsid w:val="007F7F45"/>
    <w:rsid w:val="007F7FFA"/>
    <w:rsid w:val="0080341B"/>
    <w:rsid w:val="00804A24"/>
    <w:rsid w:val="008155B3"/>
    <w:rsid w:val="00834E2B"/>
    <w:rsid w:val="008363B6"/>
    <w:rsid w:val="008374F9"/>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7"/>
    <w:rsid w:val="00905D8B"/>
    <w:rsid w:val="0091072D"/>
    <w:rsid w:val="00911C96"/>
    <w:rsid w:val="00927242"/>
    <w:rsid w:val="00933594"/>
    <w:rsid w:val="00934C71"/>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4899"/>
    <w:rsid w:val="00A95903"/>
    <w:rsid w:val="00AA1649"/>
    <w:rsid w:val="00AA1903"/>
    <w:rsid w:val="00AA2D46"/>
    <w:rsid w:val="00AA3B66"/>
    <w:rsid w:val="00AA7E06"/>
    <w:rsid w:val="00AB3C3F"/>
    <w:rsid w:val="00AB6451"/>
    <w:rsid w:val="00AD0069"/>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BF796F"/>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10108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2018-07-09T11:11:00Z</dcterms:created>
  <dcterms:modified xsi:type="dcterms:W3CDTF">2018-07-09T11:12:00Z</dcterms:modified>
</cp:coreProperties>
</file>