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08B9FF25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F42C82">
        <w:rPr>
          <w:rFonts w:asciiTheme="minorHAnsi" w:hAnsiTheme="minorHAnsi"/>
          <w:b/>
          <w:sz w:val="28"/>
          <w:szCs w:val="28"/>
        </w:rPr>
        <w:t>00238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25784A3C" w:rsidR="00B9459F" w:rsidRPr="0072033E" w:rsidRDefault="00E14D49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E14D49">
        <w:rPr>
          <w:rFonts w:ascii="Calibri" w:hAnsi="Calibri"/>
          <w:color w:val="000000" w:themeColor="text1"/>
          <w:sz w:val="22"/>
          <w:szCs w:val="22"/>
        </w:rPr>
        <w:t xml:space="preserve">HAGA </w:t>
      </w:r>
      <w:proofErr w:type="gramStart"/>
      <w:r w:rsidRPr="00E14D49">
        <w:rPr>
          <w:rFonts w:ascii="Calibri" w:hAnsi="Calibri"/>
          <w:color w:val="000000" w:themeColor="text1"/>
          <w:sz w:val="22"/>
          <w:szCs w:val="22"/>
        </w:rPr>
        <w:t>Pardubice, z.s.</w:t>
      </w:r>
      <w:proofErr w:type="gramEnd"/>
      <w:r w:rsidR="0072033E" w:rsidRPr="0072033E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72033E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1298C44" w14:textId="44A2832F" w:rsidR="00B9459F" w:rsidRPr="0072033E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72033E">
        <w:rPr>
          <w:rFonts w:ascii="Calibri" w:hAnsi="Calibri"/>
          <w:color w:val="000000" w:themeColor="text1"/>
          <w:sz w:val="22"/>
          <w:szCs w:val="22"/>
        </w:rPr>
        <w:tab/>
        <w:t>sídlo:</w:t>
      </w:r>
      <w:r w:rsidR="0072033E" w:rsidRPr="0072033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14D49" w:rsidRPr="00E14D49">
        <w:rPr>
          <w:rFonts w:asciiTheme="minorHAnsi" w:hAnsiTheme="minorHAnsi"/>
          <w:sz w:val="22"/>
          <w:szCs w:val="22"/>
        </w:rPr>
        <w:t>Stavbařů 149, Polabiny, 530 09 Pardubice</w:t>
      </w:r>
      <w:r w:rsidRPr="0072033E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6A3F7976" w:rsidR="00B9459F" w:rsidRPr="0072033E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72033E">
        <w:rPr>
          <w:rFonts w:ascii="Calibri" w:hAnsi="Calibri"/>
          <w:color w:val="000000" w:themeColor="text1"/>
          <w:sz w:val="22"/>
          <w:szCs w:val="22"/>
        </w:rPr>
        <w:tab/>
        <w:t xml:space="preserve">IČ: </w:t>
      </w:r>
      <w:r w:rsidR="00E14D49">
        <w:rPr>
          <w:rFonts w:ascii="Calibri" w:hAnsi="Calibri"/>
          <w:color w:val="000000" w:themeColor="text1"/>
          <w:sz w:val="22"/>
          <w:szCs w:val="22"/>
        </w:rPr>
        <w:t>03077993</w:t>
      </w:r>
      <w:r w:rsidRPr="0072033E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72033E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6F0A5F4D" w:rsidR="00B9459F" w:rsidRPr="0072033E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72033E">
        <w:rPr>
          <w:rFonts w:ascii="Calibri" w:hAnsi="Calibri"/>
          <w:color w:val="000000" w:themeColor="text1"/>
          <w:sz w:val="22"/>
          <w:szCs w:val="22"/>
        </w:rPr>
        <w:tab/>
      </w:r>
      <w:r w:rsidRPr="0072033E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72033E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E14D49">
        <w:rPr>
          <w:rFonts w:ascii="Calibri" w:hAnsi="Calibri"/>
          <w:sz w:val="22"/>
          <w:szCs w:val="22"/>
        </w:rPr>
        <w:t>2201058945</w:t>
      </w:r>
      <w:r w:rsidR="0072033E" w:rsidRPr="0072033E">
        <w:rPr>
          <w:rFonts w:ascii="Calibri" w:hAnsi="Calibri"/>
          <w:sz w:val="22"/>
          <w:szCs w:val="22"/>
        </w:rPr>
        <w:t>/</w:t>
      </w:r>
      <w:r w:rsidR="00E14D49">
        <w:rPr>
          <w:rFonts w:ascii="Calibri" w:hAnsi="Calibri"/>
          <w:sz w:val="22"/>
          <w:szCs w:val="22"/>
        </w:rPr>
        <w:t>2</w:t>
      </w:r>
      <w:r w:rsidR="0072033E" w:rsidRPr="0072033E">
        <w:rPr>
          <w:rFonts w:ascii="Calibri" w:hAnsi="Calibri"/>
          <w:sz w:val="22"/>
          <w:szCs w:val="22"/>
        </w:rPr>
        <w:t>0</w:t>
      </w:r>
      <w:r w:rsidR="00E14D49">
        <w:rPr>
          <w:rFonts w:ascii="Calibri" w:hAnsi="Calibri"/>
          <w:sz w:val="22"/>
          <w:szCs w:val="22"/>
        </w:rPr>
        <w:t>1</w:t>
      </w:r>
      <w:r w:rsidR="0072033E" w:rsidRPr="0072033E">
        <w:rPr>
          <w:rFonts w:ascii="Calibri" w:hAnsi="Calibri"/>
          <w:sz w:val="22"/>
          <w:szCs w:val="22"/>
        </w:rPr>
        <w:t>0</w:t>
      </w:r>
      <w:r w:rsidRPr="0072033E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445C6FE1" w:rsidR="00B9459F" w:rsidRPr="0072033E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2033E">
        <w:rPr>
          <w:rFonts w:ascii="Calibri" w:hAnsi="Calibri"/>
          <w:color w:val="000000" w:themeColor="text1"/>
          <w:sz w:val="22"/>
          <w:szCs w:val="22"/>
        </w:rPr>
        <w:tab/>
        <w:t xml:space="preserve">zastoupený: </w:t>
      </w:r>
      <w:r w:rsidR="00E14D49">
        <w:rPr>
          <w:rFonts w:ascii="Calibri" w:hAnsi="Calibri"/>
          <w:color w:val="000000" w:themeColor="text1"/>
          <w:sz w:val="22"/>
          <w:szCs w:val="22"/>
        </w:rPr>
        <w:t>Miroslavem Zajíčkem</w:t>
      </w:r>
      <w:r w:rsidR="0072033E" w:rsidRPr="0072033E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E14D49">
        <w:rPr>
          <w:rFonts w:ascii="Calibri" w:hAnsi="Calibri"/>
          <w:color w:val="000000" w:themeColor="text1"/>
          <w:sz w:val="22"/>
          <w:szCs w:val="22"/>
        </w:rPr>
        <w:t>jednatel</w:t>
      </w:r>
      <w:r w:rsidR="0072033E" w:rsidRPr="0072033E">
        <w:rPr>
          <w:rFonts w:ascii="Calibri" w:hAnsi="Calibri"/>
          <w:color w:val="000000" w:themeColor="text1"/>
          <w:sz w:val="22"/>
          <w:szCs w:val="22"/>
        </w:rPr>
        <w:t>em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72033E">
        <w:rPr>
          <w:rFonts w:asciiTheme="minorHAnsi" w:hAnsiTheme="minorHAnsi"/>
          <w:sz w:val="22"/>
          <w:szCs w:val="22"/>
        </w:rPr>
        <w:tab/>
      </w:r>
      <w:r w:rsidRPr="0072033E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E08002F" w14:textId="77777777" w:rsidR="00BB534F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BB534F" w:rsidSect="00DA1A4F">
          <w:footerReference w:type="even" r:id="rId12"/>
          <w:footerReference w:type="default" r:id="rId13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72033E" w:rsidRDefault="005A34F0" w:rsidP="005A34F0">
      <w:pPr>
        <w:jc w:val="center"/>
        <w:rPr>
          <w:rFonts w:asciiTheme="minorHAnsi" w:hAnsiTheme="minorHAnsi"/>
          <w:b/>
        </w:rPr>
      </w:pPr>
      <w:r w:rsidRPr="0072033E">
        <w:rPr>
          <w:rFonts w:asciiTheme="minorHAnsi" w:hAnsiTheme="minorHAnsi"/>
          <w:b/>
        </w:rPr>
        <w:lastRenderedPageBreak/>
        <w:t>IV. Výše, účel a způsob poskytnutí dotace</w:t>
      </w:r>
    </w:p>
    <w:p w14:paraId="204428A5" w14:textId="77777777" w:rsidR="005A34F0" w:rsidRPr="0072033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6A11A393" w:rsidR="00D14F23" w:rsidRPr="0072033E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72033E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72033E">
        <w:rPr>
          <w:rFonts w:asciiTheme="minorHAnsi" w:hAnsiTheme="minorHAnsi"/>
          <w:sz w:val="22"/>
          <w:szCs w:val="22"/>
        </w:rPr>
        <w:t>sportu</w:t>
      </w:r>
      <w:r w:rsidRPr="0072033E">
        <w:rPr>
          <w:rFonts w:asciiTheme="minorHAnsi" w:hAnsiTheme="minorHAnsi"/>
          <w:sz w:val="22"/>
          <w:szCs w:val="22"/>
        </w:rPr>
        <w:t xml:space="preserve"> pro rok 2018 ve výši</w:t>
      </w:r>
      <w:r w:rsidRPr="0072033E">
        <w:rPr>
          <w:rFonts w:asciiTheme="minorHAnsi" w:hAnsiTheme="minorHAnsi"/>
          <w:b/>
          <w:sz w:val="22"/>
          <w:szCs w:val="22"/>
        </w:rPr>
        <w:t xml:space="preserve"> </w:t>
      </w:r>
      <w:r w:rsidR="0072033E" w:rsidRPr="0072033E">
        <w:rPr>
          <w:rFonts w:asciiTheme="minorHAnsi" w:hAnsiTheme="minorHAnsi"/>
          <w:b/>
          <w:sz w:val="22"/>
          <w:szCs w:val="22"/>
        </w:rPr>
        <w:t>2</w:t>
      </w:r>
      <w:r w:rsidR="00E14D49">
        <w:rPr>
          <w:rFonts w:asciiTheme="minorHAnsi" w:hAnsiTheme="minorHAnsi"/>
          <w:b/>
          <w:sz w:val="22"/>
          <w:szCs w:val="22"/>
        </w:rPr>
        <w:t>1</w:t>
      </w:r>
      <w:r w:rsidR="0072033E" w:rsidRPr="0072033E">
        <w:rPr>
          <w:rFonts w:asciiTheme="minorHAnsi" w:hAnsiTheme="minorHAnsi"/>
          <w:b/>
          <w:sz w:val="22"/>
          <w:szCs w:val="22"/>
        </w:rPr>
        <w:t xml:space="preserve">2 </w:t>
      </w:r>
      <w:r w:rsidR="00E14D49">
        <w:rPr>
          <w:rFonts w:asciiTheme="minorHAnsi" w:hAnsiTheme="minorHAnsi"/>
          <w:b/>
          <w:sz w:val="22"/>
          <w:szCs w:val="22"/>
        </w:rPr>
        <w:t>2</w:t>
      </w:r>
      <w:r w:rsidR="00B9459F" w:rsidRPr="0072033E">
        <w:rPr>
          <w:rFonts w:asciiTheme="minorHAnsi" w:hAnsiTheme="minorHAnsi"/>
          <w:b/>
          <w:sz w:val="22"/>
          <w:szCs w:val="22"/>
        </w:rPr>
        <w:t>00</w:t>
      </w:r>
      <w:r w:rsidRPr="0072033E">
        <w:rPr>
          <w:rFonts w:asciiTheme="minorHAnsi" w:hAnsiTheme="minorHAnsi"/>
          <w:b/>
          <w:sz w:val="22"/>
          <w:szCs w:val="22"/>
        </w:rPr>
        <w:t>,</w:t>
      </w:r>
      <w:r w:rsidR="00CE6B8B" w:rsidRPr="0072033E">
        <w:rPr>
          <w:rFonts w:asciiTheme="minorHAnsi" w:hAnsiTheme="minorHAnsi"/>
          <w:b/>
          <w:sz w:val="22"/>
          <w:szCs w:val="22"/>
        </w:rPr>
        <w:t xml:space="preserve">- </w:t>
      </w:r>
      <w:r w:rsidRPr="0072033E">
        <w:rPr>
          <w:rFonts w:asciiTheme="minorHAnsi" w:hAnsiTheme="minorHAnsi"/>
          <w:b/>
          <w:sz w:val="22"/>
          <w:szCs w:val="22"/>
        </w:rPr>
        <w:t xml:space="preserve">Kč </w:t>
      </w:r>
      <w:r w:rsidRPr="0072033E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72033E" w:rsidRPr="0072033E">
        <w:rPr>
          <w:rFonts w:asciiTheme="minorHAnsi" w:hAnsiTheme="minorHAnsi"/>
          <w:sz w:val="22"/>
          <w:szCs w:val="22"/>
        </w:rPr>
        <w:t>dvěstě</w:t>
      </w:r>
      <w:r w:rsidR="00E14D49">
        <w:rPr>
          <w:rFonts w:asciiTheme="minorHAnsi" w:hAnsiTheme="minorHAnsi"/>
          <w:sz w:val="22"/>
          <w:szCs w:val="22"/>
        </w:rPr>
        <w:t>dvanáct</w:t>
      </w:r>
      <w:r w:rsidRPr="0072033E">
        <w:rPr>
          <w:rFonts w:asciiTheme="minorHAnsi" w:hAnsiTheme="minorHAnsi"/>
          <w:sz w:val="22"/>
          <w:szCs w:val="22"/>
        </w:rPr>
        <w:t>tisíc</w:t>
      </w:r>
      <w:r w:rsidR="00E14D49">
        <w:rPr>
          <w:rFonts w:asciiTheme="minorHAnsi" w:hAnsiTheme="minorHAnsi"/>
          <w:sz w:val="22"/>
          <w:szCs w:val="22"/>
        </w:rPr>
        <w:t>dvěstě</w:t>
      </w:r>
      <w:r w:rsidRPr="0072033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2033E">
        <w:rPr>
          <w:rFonts w:asciiTheme="minorHAnsi" w:hAnsiTheme="minorHAnsi"/>
          <w:sz w:val="22"/>
          <w:szCs w:val="22"/>
        </w:rPr>
        <w:t>) na realizaci projekt</w:t>
      </w:r>
      <w:r w:rsidR="00D14F23" w:rsidRPr="0072033E">
        <w:rPr>
          <w:rFonts w:asciiTheme="minorHAnsi" w:hAnsiTheme="minorHAnsi"/>
          <w:sz w:val="22"/>
          <w:szCs w:val="22"/>
        </w:rPr>
        <w:t>ů:</w:t>
      </w:r>
    </w:p>
    <w:p w14:paraId="1862E73D" w14:textId="4C952E70" w:rsidR="00D14F23" w:rsidRPr="0072033E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72033E">
        <w:rPr>
          <w:rFonts w:asciiTheme="minorHAnsi" w:hAnsiTheme="minorHAnsi"/>
          <w:sz w:val="22"/>
          <w:szCs w:val="22"/>
        </w:rPr>
        <w:t>„</w:t>
      </w:r>
      <w:r w:rsidR="00D14F23" w:rsidRPr="0072033E">
        <w:rPr>
          <w:rFonts w:asciiTheme="minorHAnsi" w:hAnsiTheme="minorHAnsi"/>
          <w:b/>
          <w:sz w:val="22"/>
          <w:szCs w:val="22"/>
        </w:rPr>
        <w:t>spolková sportovní činnost dětí a mládeže</w:t>
      </w:r>
      <w:r w:rsidR="00DA1A4F" w:rsidRPr="0072033E">
        <w:rPr>
          <w:rFonts w:asciiTheme="minorHAnsi" w:hAnsiTheme="minorHAnsi"/>
          <w:b/>
          <w:sz w:val="22"/>
          <w:szCs w:val="22"/>
        </w:rPr>
        <w:t>“</w:t>
      </w:r>
      <w:r w:rsidR="00D14F23" w:rsidRPr="0072033E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72033E">
        <w:rPr>
          <w:rFonts w:asciiTheme="minorHAnsi" w:hAnsiTheme="minorHAnsi"/>
          <w:sz w:val="22"/>
          <w:szCs w:val="22"/>
        </w:rPr>
        <w:t xml:space="preserve">v částce </w:t>
      </w:r>
      <w:r w:rsidR="00E14D49" w:rsidRPr="00E14D49">
        <w:rPr>
          <w:rFonts w:asciiTheme="minorHAnsi" w:hAnsiTheme="minorHAnsi"/>
          <w:b/>
          <w:sz w:val="22"/>
          <w:szCs w:val="22"/>
        </w:rPr>
        <w:t>64</w:t>
      </w:r>
      <w:r w:rsidR="0072033E" w:rsidRPr="0072033E">
        <w:rPr>
          <w:rFonts w:asciiTheme="minorHAnsi" w:hAnsiTheme="minorHAnsi"/>
          <w:b/>
          <w:sz w:val="22"/>
          <w:szCs w:val="22"/>
        </w:rPr>
        <w:t xml:space="preserve"> </w:t>
      </w:r>
      <w:r w:rsidR="00E14D49">
        <w:rPr>
          <w:rFonts w:asciiTheme="minorHAnsi" w:hAnsiTheme="minorHAnsi"/>
          <w:b/>
          <w:sz w:val="22"/>
          <w:szCs w:val="22"/>
        </w:rPr>
        <w:t>2</w:t>
      </w:r>
      <w:r w:rsidR="00D14F23" w:rsidRPr="0072033E">
        <w:rPr>
          <w:rFonts w:asciiTheme="minorHAnsi" w:hAnsiTheme="minorHAnsi"/>
          <w:b/>
          <w:sz w:val="22"/>
          <w:szCs w:val="22"/>
        </w:rPr>
        <w:t>00, - Kč</w:t>
      </w:r>
      <w:r w:rsidR="00D14F23" w:rsidRPr="0072033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E14D49">
        <w:rPr>
          <w:rFonts w:asciiTheme="minorHAnsi" w:hAnsiTheme="minorHAnsi"/>
          <w:sz w:val="22"/>
          <w:szCs w:val="22"/>
        </w:rPr>
        <w:t>šedesátčtyři</w:t>
      </w:r>
      <w:r w:rsidR="00D14F23" w:rsidRPr="0072033E">
        <w:rPr>
          <w:rFonts w:asciiTheme="minorHAnsi" w:hAnsiTheme="minorHAnsi"/>
          <w:sz w:val="22"/>
          <w:szCs w:val="22"/>
        </w:rPr>
        <w:t>tisíc</w:t>
      </w:r>
      <w:r w:rsidR="00E14D49">
        <w:rPr>
          <w:rFonts w:asciiTheme="minorHAnsi" w:hAnsiTheme="minorHAnsi"/>
          <w:sz w:val="22"/>
          <w:szCs w:val="22"/>
        </w:rPr>
        <w:t>e</w:t>
      </w:r>
      <w:proofErr w:type="spellEnd"/>
      <w:r w:rsidR="00DA1A4F" w:rsidRPr="0072033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14D49">
        <w:rPr>
          <w:rFonts w:asciiTheme="minorHAnsi" w:hAnsiTheme="minorHAnsi"/>
          <w:sz w:val="22"/>
          <w:szCs w:val="22"/>
        </w:rPr>
        <w:t>dvěstě</w:t>
      </w:r>
      <w:r w:rsidR="00D14F23" w:rsidRPr="0072033E">
        <w:rPr>
          <w:rFonts w:asciiTheme="minorHAnsi" w:hAnsiTheme="minorHAnsi"/>
          <w:sz w:val="22"/>
          <w:szCs w:val="22"/>
        </w:rPr>
        <w:t>korunčeských</w:t>
      </w:r>
      <w:proofErr w:type="spellEnd"/>
      <w:r w:rsidR="00D14F23" w:rsidRPr="0072033E">
        <w:rPr>
          <w:rFonts w:asciiTheme="minorHAnsi" w:hAnsiTheme="minorHAnsi"/>
          <w:sz w:val="22"/>
          <w:szCs w:val="22"/>
        </w:rPr>
        <w:t>);</w:t>
      </w:r>
    </w:p>
    <w:p w14:paraId="0393A393" w14:textId="0AAE8302" w:rsidR="00DA1A4F" w:rsidRPr="0072033E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72033E">
        <w:rPr>
          <w:rFonts w:asciiTheme="minorHAnsi" w:hAnsiTheme="minorHAnsi"/>
          <w:b/>
          <w:sz w:val="22"/>
          <w:szCs w:val="22"/>
        </w:rPr>
        <w:t>„</w:t>
      </w:r>
      <w:r w:rsidR="00D14F23" w:rsidRPr="0072033E">
        <w:rPr>
          <w:rFonts w:asciiTheme="minorHAnsi" w:hAnsiTheme="minorHAnsi"/>
          <w:b/>
          <w:sz w:val="22"/>
          <w:szCs w:val="22"/>
        </w:rPr>
        <w:t>provoz sportovišť</w:t>
      </w:r>
      <w:r w:rsidRPr="0072033E">
        <w:rPr>
          <w:rFonts w:asciiTheme="minorHAnsi" w:hAnsiTheme="minorHAnsi"/>
          <w:b/>
          <w:sz w:val="22"/>
          <w:szCs w:val="22"/>
        </w:rPr>
        <w:t>“</w:t>
      </w:r>
      <w:r w:rsidR="00D14F23" w:rsidRPr="0072033E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72033E">
        <w:rPr>
          <w:rFonts w:asciiTheme="minorHAnsi" w:hAnsiTheme="minorHAnsi"/>
          <w:sz w:val="22"/>
          <w:szCs w:val="22"/>
        </w:rPr>
        <w:t xml:space="preserve">v částce </w:t>
      </w:r>
      <w:r w:rsidR="00E14D49">
        <w:rPr>
          <w:rFonts w:asciiTheme="minorHAnsi" w:hAnsiTheme="minorHAnsi"/>
          <w:b/>
          <w:sz w:val="22"/>
          <w:szCs w:val="22"/>
        </w:rPr>
        <w:t>148</w:t>
      </w:r>
      <w:r w:rsidR="0072033E" w:rsidRPr="0072033E">
        <w:rPr>
          <w:rFonts w:asciiTheme="minorHAnsi" w:hAnsiTheme="minorHAnsi"/>
          <w:b/>
          <w:sz w:val="22"/>
          <w:szCs w:val="22"/>
        </w:rPr>
        <w:t xml:space="preserve"> </w:t>
      </w:r>
      <w:r w:rsidR="00E14D49">
        <w:rPr>
          <w:rFonts w:asciiTheme="minorHAnsi" w:hAnsiTheme="minorHAnsi"/>
          <w:b/>
          <w:sz w:val="22"/>
          <w:szCs w:val="22"/>
        </w:rPr>
        <w:t>0</w:t>
      </w:r>
      <w:r w:rsidR="0072033E" w:rsidRPr="0072033E">
        <w:rPr>
          <w:rFonts w:asciiTheme="minorHAnsi" w:hAnsiTheme="minorHAnsi"/>
          <w:b/>
          <w:sz w:val="22"/>
          <w:szCs w:val="22"/>
        </w:rPr>
        <w:t>0</w:t>
      </w:r>
      <w:r w:rsidR="00D14F23" w:rsidRPr="0072033E">
        <w:rPr>
          <w:rFonts w:asciiTheme="minorHAnsi" w:hAnsiTheme="minorHAnsi"/>
          <w:b/>
          <w:sz w:val="22"/>
          <w:szCs w:val="22"/>
        </w:rPr>
        <w:t>0, - Kč</w:t>
      </w:r>
      <w:r w:rsidR="00D14F23" w:rsidRPr="0072033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E14D49">
        <w:rPr>
          <w:rFonts w:asciiTheme="minorHAnsi" w:hAnsiTheme="minorHAnsi"/>
          <w:sz w:val="22"/>
          <w:szCs w:val="22"/>
        </w:rPr>
        <w:t>jednostočtyřicetosm</w:t>
      </w:r>
      <w:r w:rsidR="00D14F23" w:rsidRPr="0072033E">
        <w:rPr>
          <w:rFonts w:asciiTheme="minorHAnsi" w:hAnsiTheme="minorHAnsi"/>
          <w:sz w:val="22"/>
          <w:szCs w:val="22"/>
        </w:rPr>
        <w:t>tisíckorunčeských</w:t>
      </w:r>
      <w:proofErr w:type="spellEnd"/>
      <w:r w:rsidR="00D14F23" w:rsidRPr="0072033E">
        <w:rPr>
          <w:rFonts w:asciiTheme="minorHAnsi" w:hAnsiTheme="minorHAnsi"/>
          <w:sz w:val="22"/>
          <w:szCs w:val="22"/>
        </w:rPr>
        <w:t>);</w:t>
      </w:r>
    </w:p>
    <w:p w14:paraId="71D7F950" w14:textId="3574DEC7" w:rsidR="005A34F0" w:rsidRPr="00D14F23" w:rsidRDefault="00D14F23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72033E">
        <w:rPr>
          <w:rFonts w:asciiTheme="minorHAnsi" w:hAnsiTheme="minorHAnsi"/>
          <w:sz w:val="22"/>
          <w:szCs w:val="22"/>
        </w:rPr>
        <w:t xml:space="preserve">(dále jen </w:t>
      </w:r>
      <w:r w:rsidRPr="0072033E">
        <w:rPr>
          <w:rFonts w:asciiTheme="minorHAnsi" w:hAnsiTheme="minorHAnsi"/>
          <w:i/>
          <w:sz w:val="22"/>
          <w:szCs w:val="22"/>
        </w:rPr>
        <w:t>„projekt“</w:t>
      </w:r>
      <w:r w:rsidRPr="0072033E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30669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</w:t>
      </w:r>
      <w:r w:rsidRPr="0030669A">
        <w:rPr>
          <w:rFonts w:asciiTheme="minorHAnsi" w:hAnsiTheme="minorHAnsi"/>
          <w:sz w:val="22"/>
          <w:szCs w:val="22"/>
        </w:rPr>
        <w:t xml:space="preserve">předmětem této smlouvy, </w:t>
      </w:r>
    </w:p>
    <w:p w14:paraId="43362C09" w14:textId="77777777" w:rsidR="005A34F0" w:rsidRPr="0030669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0669A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30669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0669A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28DF7049" w:rsidR="005A34F0" w:rsidRPr="0030669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0669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14D49">
        <w:rPr>
          <w:rFonts w:asciiTheme="minorHAnsi" w:hAnsiTheme="minorHAnsi"/>
          <w:sz w:val="22"/>
          <w:szCs w:val="22"/>
        </w:rPr>
        <w:t>31</w:t>
      </w:r>
      <w:r w:rsidR="00B9459F" w:rsidRPr="0030669A">
        <w:rPr>
          <w:rFonts w:asciiTheme="minorHAnsi" w:hAnsiTheme="minorHAnsi"/>
          <w:sz w:val="22"/>
          <w:szCs w:val="22"/>
        </w:rPr>
        <w:t>.</w:t>
      </w:r>
      <w:r w:rsidR="00DA1A4F" w:rsidRPr="0030669A">
        <w:rPr>
          <w:rFonts w:asciiTheme="minorHAnsi" w:hAnsiTheme="minorHAnsi"/>
          <w:sz w:val="22"/>
          <w:szCs w:val="22"/>
        </w:rPr>
        <w:t xml:space="preserve"> 0</w:t>
      </w:r>
      <w:r w:rsidR="00D14F23" w:rsidRPr="0030669A">
        <w:rPr>
          <w:rFonts w:asciiTheme="minorHAnsi" w:hAnsiTheme="minorHAnsi"/>
          <w:sz w:val="22"/>
          <w:szCs w:val="22"/>
        </w:rPr>
        <w:t>1</w:t>
      </w:r>
      <w:r w:rsidR="00B9459F" w:rsidRPr="0030669A">
        <w:rPr>
          <w:rFonts w:asciiTheme="minorHAnsi" w:hAnsiTheme="minorHAnsi"/>
          <w:sz w:val="22"/>
          <w:szCs w:val="22"/>
        </w:rPr>
        <w:t>. 2018</w:t>
      </w:r>
      <w:r w:rsidRPr="0030669A">
        <w:rPr>
          <w:rFonts w:asciiTheme="minorHAnsi" w:hAnsiTheme="minorHAnsi"/>
          <w:sz w:val="22"/>
          <w:szCs w:val="22"/>
        </w:rPr>
        <w:t xml:space="preserve"> a zaevidované poskytovatelem pod </w:t>
      </w:r>
      <w:proofErr w:type="gramStart"/>
      <w:r w:rsidRPr="0030669A">
        <w:rPr>
          <w:rFonts w:asciiTheme="minorHAnsi" w:hAnsiTheme="minorHAnsi"/>
          <w:sz w:val="22"/>
          <w:szCs w:val="22"/>
        </w:rPr>
        <w:t>č.j.</w:t>
      </w:r>
      <w:proofErr w:type="gramEnd"/>
      <w:r w:rsidRPr="003066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5259B" w:rsidRPr="0030669A">
        <w:rPr>
          <w:rFonts w:asciiTheme="minorHAnsi" w:hAnsiTheme="minorHAnsi"/>
          <w:sz w:val="22"/>
          <w:szCs w:val="22"/>
        </w:rPr>
        <w:t>MmP</w:t>
      </w:r>
      <w:proofErr w:type="spellEnd"/>
      <w:r w:rsidR="0085259B" w:rsidRPr="0030669A">
        <w:rPr>
          <w:rFonts w:asciiTheme="minorHAnsi" w:hAnsiTheme="minorHAnsi"/>
          <w:sz w:val="22"/>
          <w:szCs w:val="22"/>
        </w:rPr>
        <w:t xml:space="preserve"> </w:t>
      </w:r>
      <w:r w:rsidR="00E14D49">
        <w:rPr>
          <w:rFonts w:asciiTheme="minorHAnsi" w:hAnsiTheme="minorHAnsi"/>
          <w:sz w:val="22"/>
          <w:szCs w:val="22"/>
        </w:rPr>
        <w:t>7586</w:t>
      </w:r>
      <w:r w:rsidR="0085259B" w:rsidRPr="0030669A">
        <w:rPr>
          <w:rFonts w:asciiTheme="minorHAnsi" w:hAnsiTheme="minorHAnsi"/>
          <w:sz w:val="22"/>
          <w:szCs w:val="22"/>
        </w:rPr>
        <w:t>/2018</w:t>
      </w:r>
      <w:r w:rsidRPr="0030669A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0669A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30669A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6B1160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0E2518">
        <w:rPr>
          <w:rFonts w:asciiTheme="minorHAnsi" w:hAnsiTheme="minorHAnsi"/>
          <w:sz w:val="22"/>
          <w:szCs w:val="22"/>
        </w:rPr>
        <w:t>4. 7. 2018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125D30DB" w:rsidR="005A34F0" w:rsidRPr="00515D12" w:rsidRDefault="00DA1A4F" w:rsidP="00DA1A4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7D6CAFF3" w:rsidR="00456561" w:rsidRDefault="005A34F0" w:rsidP="00DA1A4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E14D49">
        <w:rPr>
          <w:rFonts w:asciiTheme="minorHAnsi" w:hAnsiTheme="minorHAnsi"/>
          <w:sz w:val="22"/>
          <w:szCs w:val="22"/>
        </w:rPr>
        <w:t>Miroslav Zajíček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110B0ADE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F42C82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DA1A4F">
      <w:headerReference w:type="default" r:id="rId14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0E25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0E251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B2E2" w14:textId="77777777" w:rsidR="00BB534F" w:rsidRDefault="00BB534F">
    <w:pPr>
      <w:pStyle w:val="Zhlav"/>
    </w:pPr>
  </w:p>
  <w:p w14:paraId="6A0ABC33" w14:textId="77777777" w:rsidR="00BB534F" w:rsidRDefault="00BB534F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2734C"/>
    <w:rsid w:val="0003348F"/>
    <w:rsid w:val="000C3316"/>
    <w:rsid w:val="000E2518"/>
    <w:rsid w:val="00147813"/>
    <w:rsid w:val="00187595"/>
    <w:rsid w:val="00245B51"/>
    <w:rsid w:val="0030669A"/>
    <w:rsid w:val="0042291B"/>
    <w:rsid w:val="00456561"/>
    <w:rsid w:val="0048275D"/>
    <w:rsid w:val="0048400C"/>
    <w:rsid w:val="0053234C"/>
    <w:rsid w:val="00586AA9"/>
    <w:rsid w:val="005A34F0"/>
    <w:rsid w:val="00606EDE"/>
    <w:rsid w:val="006157F4"/>
    <w:rsid w:val="00700E88"/>
    <w:rsid w:val="0072033E"/>
    <w:rsid w:val="00755A16"/>
    <w:rsid w:val="00793137"/>
    <w:rsid w:val="007A371B"/>
    <w:rsid w:val="007E2C95"/>
    <w:rsid w:val="0085259B"/>
    <w:rsid w:val="00865D93"/>
    <w:rsid w:val="00B9459F"/>
    <w:rsid w:val="00BB534F"/>
    <w:rsid w:val="00BE78F6"/>
    <w:rsid w:val="00C77466"/>
    <w:rsid w:val="00C8285A"/>
    <w:rsid w:val="00C960DB"/>
    <w:rsid w:val="00CB1DCA"/>
    <w:rsid w:val="00CD5770"/>
    <w:rsid w:val="00CE6B8B"/>
    <w:rsid w:val="00D14F23"/>
    <w:rsid w:val="00D33DCB"/>
    <w:rsid w:val="00D553CC"/>
    <w:rsid w:val="00D60A58"/>
    <w:rsid w:val="00D635B4"/>
    <w:rsid w:val="00DA1A4F"/>
    <w:rsid w:val="00DB729F"/>
    <w:rsid w:val="00DC06FA"/>
    <w:rsid w:val="00DD2CA6"/>
    <w:rsid w:val="00E14D49"/>
    <w:rsid w:val="00E23BA7"/>
    <w:rsid w:val="00F42C82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E703DF2E-CB10-42D9-935F-224B50BC834B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df30a891-99dc-44a0-9782-3a4c8c525d86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94004b3-5c85-4b6f-b2cb-b6e165aced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2225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7</cp:revision>
  <cp:lastPrinted>2018-04-17T05:52:00Z</cp:lastPrinted>
  <dcterms:created xsi:type="dcterms:W3CDTF">2018-04-10T11:53:00Z</dcterms:created>
  <dcterms:modified xsi:type="dcterms:W3CDTF">2018-07-04T08:31:00Z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