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EF" w:rsidRPr="006C31D7" w:rsidRDefault="00B96D51" w:rsidP="00944E6C">
      <w:pPr>
        <w:pStyle w:val="Nzev"/>
        <w:ind w:left="0"/>
        <w:rPr>
          <w:rFonts w:asciiTheme="minorHAnsi" w:hAnsiTheme="minorHAnsi" w:cs="Tahoma"/>
          <w:sz w:val="24"/>
          <w:szCs w:val="20"/>
        </w:rPr>
      </w:pPr>
      <w:r w:rsidRPr="006C31D7">
        <w:rPr>
          <w:rFonts w:asciiTheme="minorHAnsi" w:hAnsiTheme="minorHAnsi" w:cs="Tahoma"/>
          <w:sz w:val="24"/>
          <w:szCs w:val="20"/>
        </w:rPr>
        <w:t xml:space="preserve">Dodatek </w:t>
      </w:r>
      <w:proofErr w:type="gramStart"/>
      <w:r w:rsidRPr="006C31D7">
        <w:rPr>
          <w:rFonts w:asciiTheme="minorHAnsi" w:hAnsiTheme="minorHAnsi" w:cs="Tahoma"/>
          <w:sz w:val="24"/>
          <w:szCs w:val="20"/>
        </w:rPr>
        <w:t xml:space="preserve">č. </w:t>
      </w:r>
      <w:r w:rsidR="0080215A">
        <w:rPr>
          <w:rFonts w:asciiTheme="minorHAnsi" w:hAnsiTheme="minorHAnsi" w:cs="Tahoma"/>
          <w:sz w:val="24"/>
          <w:szCs w:val="20"/>
        </w:rPr>
        <w:t>2</w:t>
      </w:r>
      <w:r w:rsidR="00C250C5" w:rsidRPr="006C31D7">
        <w:rPr>
          <w:rFonts w:asciiTheme="minorHAnsi" w:hAnsiTheme="minorHAnsi" w:cs="Tahoma"/>
          <w:sz w:val="24"/>
          <w:szCs w:val="20"/>
        </w:rPr>
        <w:t xml:space="preserve">  </w:t>
      </w:r>
      <w:r w:rsidR="00305954" w:rsidRPr="006C31D7">
        <w:rPr>
          <w:rFonts w:asciiTheme="minorHAnsi" w:hAnsiTheme="minorHAnsi" w:cs="Tahoma"/>
          <w:sz w:val="24"/>
          <w:szCs w:val="20"/>
        </w:rPr>
        <w:t>ke</w:t>
      </w:r>
      <w:proofErr w:type="gramEnd"/>
      <w:r w:rsidR="00305954" w:rsidRPr="006C31D7">
        <w:rPr>
          <w:rFonts w:asciiTheme="minorHAnsi" w:hAnsiTheme="minorHAnsi" w:cs="Tahoma"/>
          <w:sz w:val="24"/>
          <w:szCs w:val="20"/>
        </w:rPr>
        <w:t xml:space="preserve"> smlouvě </w:t>
      </w:r>
      <w:r w:rsidR="002D38E9">
        <w:rPr>
          <w:rFonts w:asciiTheme="minorHAnsi" w:hAnsiTheme="minorHAnsi" w:cs="Tahoma"/>
          <w:sz w:val="24"/>
          <w:szCs w:val="20"/>
        </w:rPr>
        <w:t xml:space="preserve">č. </w:t>
      </w:r>
      <w:r w:rsidR="00C40912" w:rsidRPr="00C40912">
        <w:rPr>
          <w:rFonts w:asciiTheme="minorHAnsi" w:hAnsiTheme="minorHAnsi" w:cs="Tahoma"/>
          <w:sz w:val="24"/>
          <w:szCs w:val="20"/>
        </w:rPr>
        <w:t>S-</w:t>
      </w:r>
      <w:r w:rsidR="0080215A">
        <w:rPr>
          <w:rFonts w:asciiTheme="minorHAnsi" w:hAnsiTheme="minorHAnsi" w:cs="Tahoma"/>
          <w:sz w:val="24"/>
          <w:szCs w:val="20"/>
        </w:rPr>
        <w:t>8004/05/KHX</w:t>
      </w:r>
    </w:p>
    <w:p w:rsidR="003E59EF" w:rsidRPr="006C31D7" w:rsidRDefault="003E59EF" w:rsidP="00BC4143">
      <w:pPr>
        <w:jc w:val="center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uzavřený mezi smluvními stranami:</w:t>
      </w:r>
    </w:p>
    <w:p w:rsidR="008370D6" w:rsidRPr="006C31D7" w:rsidRDefault="008370D6" w:rsidP="008079CF">
      <w:pPr>
        <w:rPr>
          <w:rFonts w:asciiTheme="minorHAnsi" w:hAnsiTheme="minorHAnsi" w:cs="Tahoma"/>
        </w:rPr>
      </w:pPr>
    </w:p>
    <w:p w:rsidR="00391848" w:rsidRPr="00391848" w:rsidRDefault="00391848" w:rsidP="00391848">
      <w:pPr>
        <w:pStyle w:val="Default"/>
        <w:rPr>
          <w:rFonts w:asciiTheme="minorHAnsi" w:hAnsiTheme="minorHAnsi"/>
          <w:b/>
          <w:color w:val="auto"/>
          <w:sz w:val="20"/>
          <w:szCs w:val="20"/>
        </w:rPr>
      </w:pPr>
      <w:r w:rsidRPr="00391848">
        <w:rPr>
          <w:rFonts w:asciiTheme="minorHAnsi" w:hAnsiTheme="minorHAnsi"/>
          <w:b/>
          <w:color w:val="auto"/>
          <w:sz w:val="20"/>
          <w:szCs w:val="20"/>
        </w:rPr>
        <w:t>Oborová zdravotní pojišťovna zaměstnanců</w:t>
      </w:r>
    </w:p>
    <w:p w:rsidR="002D38E9" w:rsidRPr="006C31D7" w:rsidRDefault="00391848" w:rsidP="00391848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391848">
        <w:rPr>
          <w:rFonts w:asciiTheme="minorHAnsi" w:hAnsiTheme="minorHAnsi"/>
          <w:color w:val="auto"/>
          <w:sz w:val="20"/>
          <w:szCs w:val="20"/>
        </w:rPr>
        <w:t>Roškotova 1225/1</w:t>
      </w:r>
      <w:r w:rsidR="00C40912" w:rsidRPr="00391848">
        <w:rPr>
          <w:rFonts w:asciiTheme="minorHAnsi" w:hAnsiTheme="minorHAnsi"/>
          <w:color w:val="auto"/>
          <w:sz w:val="20"/>
          <w:szCs w:val="20"/>
        </w:rPr>
        <w:t xml:space="preserve">, </w:t>
      </w:r>
      <w:r>
        <w:rPr>
          <w:rFonts w:asciiTheme="minorHAnsi" w:hAnsiTheme="minorHAnsi"/>
          <w:color w:val="auto"/>
          <w:sz w:val="20"/>
          <w:szCs w:val="20"/>
        </w:rPr>
        <w:t>14021</w:t>
      </w:r>
      <w:r w:rsidR="00C40912" w:rsidRPr="00C40912">
        <w:rPr>
          <w:rFonts w:asciiTheme="minorHAnsi" w:hAnsiTheme="minorHAnsi"/>
          <w:color w:val="auto"/>
          <w:sz w:val="20"/>
          <w:szCs w:val="20"/>
        </w:rPr>
        <w:t xml:space="preserve"> Praha 1</w:t>
      </w:r>
      <w:r w:rsidR="002D38E9" w:rsidRPr="002D38E9">
        <w:rPr>
          <w:rFonts w:asciiTheme="minorHAnsi" w:hAnsiTheme="minorHAnsi"/>
          <w:color w:val="auto"/>
          <w:sz w:val="20"/>
          <w:szCs w:val="20"/>
        </w:rPr>
        <w:t>, ČR</w:t>
      </w:r>
    </w:p>
    <w:p w:rsidR="00C250C5" w:rsidRPr="00C40912" w:rsidRDefault="00345560" w:rsidP="00C40912">
      <w:pPr>
        <w:rPr>
          <w:rFonts w:asciiTheme="minorHAnsi" w:hAnsiTheme="minorHAnsi" w:cs="Tahoma"/>
        </w:rPr>
      </w:pPr>
      <w:r w:rsidRPr="006C31D7">
        <w:rPr>
          <w:rFonts w:asciiTheme="minorHAnsi" w:hAnsiTheme="minorHAnsi"/>
        </w:rPr>
        <w:t xml:space="preserve">IČ: </w:t>
      </w:r>
      <w:r w:rsidR="0080215A" w:rsidRPr="0080215A">
        <w:rPr>
          <w:rFonts w:asciiTheme="minorHAnsi" w:hAnsiTheme="minorHAnsi" w:cs="Segoe UI"/>
          <w:color w:val="000000"/>
        </w:rPr>
        <w:t>47114321</w:t>
      </w:r>
    </w:p>
    <w:p w:rsidR="00345560" w:rsidRPr="006C31D7" w:rsidRDefault="00345560" w:rsidP="00345560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31D7">
        <w:rPr>
          <w:rFonts w:asciiTheme="minorHAnsi" w:hAnsiTheme="minorHAnsi"/>
          <w:bCs/>
          <w:color w:val="auto"/>
          <w:sz w:val="20"/>
          <w:szCs w:val="20"/>
        </w:rPr>
        <w:t xml:space="preserve">zástupce: </w:t>
      </w:r>
      <w:r w:rsidR="00D2425D">
        <w:rPr>
          <w:rFonts w:asciiTheme="minorHAnsi" w:hAnsiTheme="minorHAnsi"/>
          <w:bCs/>
          <w:color w:val="auto"/>
          <w:sz w:val="20"/>
          <w:szCs w:val="20"/>
        </w:rPr>
        <w:t xml:space="preserve">Ing. </w:t>
      </w:r>
      <w:r w:rsidR="00D2425D" w:rsidRPr="00D2425D">
        <w:rPr>
          <w:rFonts w:asciiTheme="minorHAnsi" w:hAnsiTheme="minorHAnsi"/>
          <w:bCs/>
          <w:color w:val="auto"/>
          <w:sz w:val="20"/>
          <w:szCs w:val="20"/>
        </w:rPr>
        <w:t>Radovan Kouřil – generální ředitel</w:t>
      </w:r>
    </w:p>
    <w:p w:rsidR="003E59EF" w:rsidRPr="006C31D7" w:rsidRDefault="00345560" w:rsidP="00345560">
      <w:pPr>
        <w:rPr>
          <w:rFonts w:asciiTheme="minorHAnsi" w:hAnsiTheme="minorHAnsi" w:cs="Tahoma"/>
        </w:rPr>
      </w:pPr>
      <w:proofErr w:type="gramStart"/>
      <w:r w:rsidRPr="006C31D7">
        <w:rPr>
          <w:rFonts w:asciiTheme="minorHAnsi" w:hAnsiTheme="minorHAnsi" w:cs="Tahoma"/>
        </w:rPr>
        <w:t>jako o b j e d n a t e l  (dále</w:t>
      </w:r>
      <w:proofErr w:type="gramEnd"/>
      <w:r w:rsidRPr="006C31D7">
        <w:rPr>
          <w:rFonts w:asciiTheme="minorHAnsi" w:hAnsiTheme="minorHAnsi" w:cs="Tahoma"/>
        </w:rPr>
        <w:t xml:space="preserve"> jen „objednatel“) na straně jedné </w:t>
      </w:r>
    </w:p>
    <w:p w:rsidR="008370D6" w:rsidRPr="006C31D7" w:rsidRDefault="008370D6" w:rsidP="00345560">
      <w:pPr>
        <w:rPr>
          <w:rFonts w:asciiTheme="minorHAnsi" w:hAnsiTheme="minorHAnsi" w:cs="Tahoma"/>
        </w:rPr>
      </w:pPr>
    </w:p>
    <w:p w:rsidR="003E59EF" w:rsidRPr="006C31D7" w:rsidRDefault="003E59EF" w:rsidP="006C31D7">
      <w:pPr>
        <w:jc w:val="center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a</w:t>
      </w:r>
    </w:p>
    <w:p w:rsidR="00766319" w:rsidRPr="006C31D7" w:rsidRDefault="00766319" w:rsidP="00616030">
      <w:pPr>
        <w:rPr>
          <w:rFonts w:asciiTheme="minorHAnsi" w:hAnsiTheme="minorHAnsi" w:cs="Tahoma"/>
        </w:rPr>
      </w:pPr>
      <w:proofErr w:type="spellStart"/>
      <w:r w:rsidRPr="006C31D7">
        <w:rPr>
          <w:rFonts w:asciiTheme="minorHAnsi" w:hAnsiTheme="minorHAnsi" w:cs="Tahoma"/>
          <w:b/>
          <w:bCs/>
        </w:rPr>
        <w:t>Wolters</w:t>
      </w:r>
      <w:proofErr w:type="spellEnd"/>
      <w:r w:rsidR="00C250C5" w:rsidRPr="006C31D7">
        <w:rPr>
          <w:rFonts w:asciiTheme="minorHAnsi" w:hAnsiTheme="minorHAnsi" w:cs="Tahoma"/>
          <w:b/>
          <w:bCs/>
        </w:rPr>
        <w:t xml:space="preserve"> </w:t>
      </w:r>
      <w:proofErr w:type="spellStart"/>
      <w:r w:rsidR="00C250C5" w:rsidRPr="006C31D7">
        <w:rPr>
          <w:rFonts w:asciiTheme="minorHAnsi" w:hAnsiTheme="minorHAnsi" w:cs="Tahoma"/>
          <w:b/>
          <w:bCs/>
        </w:rPr>
        <w:t>Kluwer</w:t>
      </w:r>
      <w:proofErr w:type="spellEnd"/>
      <w:r w:rsidRPr="006C31D7">
        <w:rPr>
          <w:rFonts w:asciiTheme="minorHAnsi" w:hAnsiTheme="minorHAnsi" w:cs="Tahoma"/>
          <w:b/>
          <w:bCs/>
        </w:rPr>
        <w:t>, a.s.</w:t>
      </w:r>
    </w:p>
    <w:p w:rsidR="008370D6" w:rsidRPr="006C31D7" w:rsidRDefault="00361EB5" w:rsidP="00616030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U Nákladového nádraží 6</w:t>
      </w:r>
    </w:p>
    <w:p w:rsidR="008370D6" w:rsidRPr="006C31D7" w:rsidRDefault="00766319" w:rsidP="00616030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130 00 Praha 3</w:t>
      </w:r>
    </w:p>
    <w:p w:rsidR="00766319" w:rsidRPr="006C31D7" w:rsidRDefault="008370D6" w:rsidP="00616030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 xml:space="preserve">IČ: 63077639, </w:t>
      </w:r>
      <w:r w:rsidR="00766319" w:rsidRPr="006C31D7">
        <w:rPr>
          <w:rFonts w:asciiTheme="minorHAnsi" w:hAnsiTheme="minorHAnsi" w:cs="Tahoma"/>
        </w:rPr>
        <w:t>DIČ: CZ63077639</w:t>
      </w:r>
    </w:p>
    <w:p w:rsidR="00766319" w:rsidRPr="006C31D7" w:rsidRDefault="00766319" w:rsidP="00616030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zápi</w:t>
      </w:r>
      <w:smartTag w:uri="urn:schemas-microsoft-com:office:smarttags" w:element="PersonName">
        <w:r w:rsidRPr="006C31D7">
          <w:rPr>
            <w:rFonts w:asciiTheme="minorHAnsi" w:hAnsiTheme="minorHAnsi" w:cs="Tahoma"/>
          </w:rPr>
          <w:t>s</w:t>
        </w:r>
      </w:smartTag>
      <w:r w:rsidRPr="006C31D7">
        <w:rPr>
          <w:rFonts w:asciiTheme="minorHAnsi" w:hAnsiTheme="minorHAnsi" w:cs="Tahoma"/>
        </w:rPr>
        <w:t xml:space="preserve"> v obch. rejstříku v oddílu B, vložka č. 9659, u Mě</w:t>
      </w:r>
      <w:smartTag w:uri="urn:schemas-microsoft-com:office:smarttags" w:element="PersonName">
        <w:r w:rsidRPr="006C31D7">
          <w:rPr>
            <w:rFonts w:asciiTheme="minorHAnsi" w:hAnsiTheme="minorHAnsi" w:cs="Tahoma"/>
          </w:rPr>
          <w:t>s</w:t>
        </w:r>
      </w:smartTag>
      <w:r w:rsidRPr="006C31D7">
        <w:rPr>
          <w:rFonts w:asciiTheme="minorHAnsi" w:hAnsiTheme="minorHAnsi" w:cs="Tahoma"/>
        </w:rPr>
        <w:t>t</w:t>
      </w:r>
      <w:smartTag w:uri="urn:schemas-microsoft-com:office:smarttags" w:element="PersonName">
        <w:r w:rsidRPr="006C31D7">
          <w:rPr>
            <w:rFonts w:asciiTheme="minorHAnsi" w:hAnsiTheme="minorHAnsi" w:cs="Tahoma"/>
          </w:rPr>
          <w:t>s</w:t>
        </w:r>
      </w:smartTag>
      <w:r w:rsidRPr="006C31D7">
        <w:rPr>
          <w:rFonts w:asciiTheme="minorHAnsi" w:hAnsiTheme="minorHAnsi" w:cs="Tahoma"/>
        </w:rPr>
        <w:t xml:space="preserve">kého </w:t>
      </w:r>
      <w:smartTag w:uri="urn:schemas-microsoft-com:office:smarttags" w:element="PersonName">
        <w:r w:rsidRPr="006C31D7">
          <w:rPr>
            <w:rFonts w:asciiTheme="minorHAnsi" w:hAnsiTheme="minorHAnsi" w:cs="Tahoma"/>
          </w:rPr>
          <w:t>s</w:t>
        </w:r>
      </w:smartTag>
      <w:r w:rsidRPr="006C31D7">
        <w:rPr>
          <w:rFonts w:asciiTheme="minorHAnsi" w:hAnsiTheme="minorHAnsi" w:cs="Tahoma"/>
        </w:rPr>
        <w:t>oudu v Praze</w:t>
      </w:r>
    </w:p>
    <w:p w:rsidR="00AE5197" w:rsidRPr="006C31D7" w:rsidRDefault="00766319" w:rsidP="00AE5197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zás</w:t>
      </w:r>
      <w:r w:rsidR="00344785" w:rsidRPr="006C31D7">
        <w:rPr>
          <w:rFonts w:asciiTheme="minorHAnsi" w:hAnsiTheme="minorHAnsi" w:cs="Tahoma"/>
        </w:rPr>
        <w:t xml:space="preserve">tupce: </w:t>
      </w:r>
      <w:r w:rsidR="00C40912">
        <w:rPr>
          <w:rFonts w:asciiTheme="minorHAnsi" w:hAnsiTheme="minorHAnsi" w:cs="Tahoma"/>
          <w:shd w:val="clear" w:color="auto" w:fill="FFFFFF"/>
        </w:rPr>
        <w:t>Martin Seifert, na základě Plné moci ze dne 1.1.2016</w:t>
      </w:r>
    </w:p>
    <w:p w:rsidR="003E59EF" w:rsidRPr="006C31D7" w:rsidRDefault="003E59EF" w:rsidP="00AE5197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 xml:space="preserve">jako  z h o t o v i </w:t>
      </w:r>
      <w:r w:rsidR="00361EB5" w:rsidRPr="006C31D7">
        <w:rPr>
          <w:rFonts w:asciiTheme="minorHAnsi" w:hAnsiTheme="minorHAnsi" w:cs="Tahoma"/>
        </w:rPr>
        <w:t xml:space="preserve">t e l  (dále jen „zhotovitel“) </w:t>
      </w:r>
      <w:r w:rsidRPr="006C31D7">
        <w:rPr>
          <w:rFonts w:asciiTheme="minorHAnsi" w:hAnsiTheme="minorHAnsi" w:cs="Tahoma"/>
        </w:rPr>
        <w:t>na straně druhé</w:t>
      </w:r>
    </w:p>
    <w:p w:rsidR="003E59EF" w:rsidRPr="006C31D7" w:rsidRDefault="003E59EF" w:rsidP="00616030">
      <w:pPr>
        <w:rPr>
          <w:rFonts w:asciiTheme="minorHAnsi" w:hAnsiTheme="minorHAnsi" w:cs="Tahoma"/>
        </w:rPr>
      </w:pPr>
    </w:p>
    <w:p w:rsidR="0041681E" w:rsidRPr="006C31D7" w:rsidRDefault="0041681E" w:rsidP="00616030">
      <w:pPr>
        <w:rPr>
          <w:rFonts w:asciiTheme="minorHAnsi" w:hAnsiTheme="minorHAnsi" w:cs="Tahoma"/>
        </w:rPr>
      </w:pPr>
    </w:p>
    <w:p w:rsidR="003E59EF" w:rsidRPr="006C31D7" w:rsidRDefault="00616030" w:rsidP="00D83A25">
      <w:pPr>
        <w:jc w:val="both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 xml:space="preserve">uzavírají na </w:t>
      </w:r>
      <w:r w:rsidR="0088686C" w:rsidRPr="006C31D7">
        <w:rPr>
          <w:rFonts w:asciiTheme="minorHAnsi" w:hAnsiTheme="minorHAnsi" w:cs="Tahoma"/>
        </w:rPr>
        <w:t xml:space="preserve">základě </w:t>
      </w:r>
      <w:r w:rsidRPr="006C31D7">
        <w:rPr>
          <w:rFonts w:asciiTheme="minorHAnsi" w:hAnsiTheme="minorHAnsi" w:cs="Tahoma"/>
        </w:rPr>
        <w:t>vzájemného ujednání podle</w:t>
      </w:r>
      <w:r w:rsidR="006C31D7" w:rsidRPr="006C31D7">
        <w:rPr>
          <w:rFonts w:asciiTheme="minorHAnsi" w:hAnsiTheme="minorHAnsi" w:cs="Tahoma"/>
        </w:rPr>
        <w:t xml:space="preserve"> občanského zákon</w:t>
      </w:r>
      <w:r w:rsidR="0085510B">
        <w:rPr>
          <w:rFonts w:asciiTheme="minorHAnsi" w:hAnsiTheme="minorHAnsi" w:cs="Tahoma"/>
        </w:rPr>
        <w:t>íku</w:t>
      </w:r>
      <w:r w:rsidRPr="006C31D7">
        <w:rPr>
          <w:rFonts w:asciiTheme="minorHAnsi" w:hAnsiTheme="minorHAnsi" w:cs="Tahoma"/>
        </w:rPr>
        <w:t xml:space="preserve"> </w:t>
      </w:r>
      <w:r w:rsidR="006C31D7" w:rsidRPr="006C31D7">
        <w:rPr>
          <w:rFonts w:asciiTheme="minorHAnsi" w:hAnsiTheme="minorHAnsi"/>
        </w:rPr>
        <w:t xml:space="preserve">č. 89/2012 </w:t>
      </w:r>
      <w:proofErr w:type="spellStart"/>
      <w:r w:rsidR="006C31D7" w:rsidRPr="006C31D7">
        <w:rPr>
          <w:rFonts w:asciiTheme="minorHAnsi" w:hAnsiTheme="minorHAnsi"/>
        </w:rPr>
        <w:t>Sb</w:t>
      </w:r>
      <w:proofErr w:type="spellEnd"/>
      <w:r w:rsidR="006C31D7" w:rsidRPr="006C31D7">
        <w:rPr>
          <w:rFonts w:asciiTheme="minorHAnsi" w:hAnsiTheme="minorHAnsi" w:cs="Tahoma"/>
        </w:rPr>
        <w:t xml:space="preserve"> </w:t>
      </w:r>
      <w:r w:rsidRPr="006C31D7">
        <w:rPr>
          <w:rFonts w:asciiTheme="minorHAnsi" w:hAnsiTheme="minorHAnsi" w:cs="Tahoma"/>
        </w:rPr>
        <w:t>tento</w:t>
      </w:r>
      <w:r w:rsidR="00D83A25" w:rsidRPr="006C31D7">
        <w:rPr>
          <w:rFonts w:asciiTheme="minorHAnsi" w:hAnsiTheme="minorHAnsi" w:cs="Tahoma"/>
        </w:rPr>
        <w:t xml:space="preserve"> </w:t>
      </w:r>
      <w:r w:rsidR="003E59EF" w:rsidRPr="006C31D7">
        <w:rPr>
          <w:rFonts w:asciiTheme="minorHAnsi" w:hAnsiTheme="minorHAnsi" w:cs="Tahoma"/>
          <w:b/>
        </w:rPr>
        <w:t xml:space="preserve">dodatek </w:t>
      </w:r>
      <w:r w:rsidR="003B77EC" w:rsidRPr="002D38E9">
        <w:rPr>
          <w:rFonts w:asciiTheme="minorHAnsi" w:hAnsiTheme="minorHAnsi" w:cs="Tahoma"/>
          <w:b/>
        </w:rPr>
        <w:t>č.</w:t>
      </w:r>
      <w:r w:rsidR="00361EB5" w:rsidRPr="002D38E9">
        <w:rPr>
          <w:rFonts w:asciiTheme="minorHAnsi" w:hAnsiTheme="minorHAnsi" w:cs="Tahoma"/>
          <w:b/>
        </w:rPr>
        <w:t xml:space="preserve"> </w:t>
      </w:r>
      <w:r w:rsidR="0080215A">
        <w:rPr>
          <w:rFonts w:asciiTheme="minorHAnsi" w:hAnsiTheme="minorHAnsi" w:cs="Tahoma"/>
          <w:b/>
        </w:rPr>
        <w:t>2</w:t>
      </w:r>
      <w:r w:rsidR="00414230" w:rsidRPr="006C31D7">
        <w:rPr>
          <w:rFonts w:asciiTheme="minorHAnsi" w:hAnsiTheme="minorHAnsi" w:cs="Tahoma"/>
          <w:b/>
        </w:rPr>
        <w:t xml:space="preserve"> </w:t>
      </w:r>
      <w:r w:rsidR="0088686C" w:rsidRPr="006C31D7">
        <w:rPr>
          <w:rFonts w:asciiTheme="minorHAnsi" w:hAnsiTheme="minorHAnsi" w:cs="Tahoma"/>
          <w:i/>
        </w:rPr>
        <w:t xml:space="preserve">(dále jen „dodatek“) </w:t>
      </w:r>
      <w:r w:rsidR="003E59EF" w:rsidRPr="006C31D7">
        <w:rPr>
          <w:rFonts w:asciiTheme="minorHAnsi" w:hAnsiTheme="minorHAnsi" w:cs="Tahoma"/>
          <w:b/>
        </w:rPr>
        <w:t>ke s</w:t>
      </w:r>
      <w:r w:rsidR="000A6371" w:rsidRPr="006C31D7">
        <w:rPr>
          <w:rFonts w:asciiTheme="minorHAnsi" w:hAnsiTheme="minorHAnsi" w:cs="Tahoma"/>
          <w:b/>
        </w:rPr>
        <w:t>mlouvě č.</w:t>
      </w:r>
      <w:r w:rsidR="0080215A">
        <w:rPr>
          <w:rFonts w:asciiTheme="minorHAnsi" w:hAnsiTheme="minorHAnsi" w:cs="Tahoma"/>
          <w:b/>
        </w:rPr>
        <w:t xml:space="preserve"> </w:t>
      </w:r>
      <w:r w:rsidR="0080215A" w:rsidRPr="0080215A">
        <w:rPr>
          <w:rFonts w:asciiTheme="minorHAnsi" w:hAnsiTheme="minorHAnsi" w:cs="Tahoma"/>
          <w:b/>
        </w:rPr>
        <w:t>S-8004/05/KHX</w:t>
      </w:r>
      <w:r w:rsidR="0080215A" w:rsidRPr="0080215A">
        <w:rPr>
          <w:rFonts w:asciiTheme="minorHAnsi" w:hAnsiTheme="minorHAnsi" w:cs="Tahoma"/>
          <w:i/>
        </w:rPr>
        <w:t xml:space="preserve"> </w:t>
      </w:r>
      <w:r w:rsidR="0088686C" w:rsidRPr="006C31D7">
        <w:rPr>
          <w:rFonts w:asciiTheme="minorHAnsi" w:hAnsiTheme="minorHAnsi" w:cs="Tahoma"/>
          <w:i/>
        </w:rPr>
        <w:t>(dále jen „smlouva“)</w:t>
      </w:r>
      <w:r w:rsidR="00BA29CC" w:rsidRPr="006C31D7">
        <w:rPr>
          <w:rFonts w:asciiTheme="minorHAnsi" w:hAnsiTheme="minorHAnsi" w:cs="Tahoma"/>
        </w:rPr>
        <w:t xml:space="preserve">. </w:t>
      </w:r>
    </w:p>
    <w:p w:rsidR="00864407" w:rsidRPr="006C31D7" w:rsidRDefault="00864407" w:rsidP="00616030">
      <w:pPr>
        <w:rPr>
          <w:rFonts w:asciiTheme="minorHAnsi" w:hAnsiTheme="minorHAnsi" w:cs="Tahoma"/>
        </w:rPr>
      </w:pPr>
    </w:p>
    <w:p w:rsidR="00287B4B" w:rsidRPr="006C31D7" w:rsidRDefault="00174BCD" w:rsidP="00C25DBD">
      <w:pPr>
        <w:jc w:val="center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I.</w:t>
      </w:r>
    </w:p>
    <w:p w:rsidR="00535971" w:rsidRDefault="00C250C5" w:rsidP="00C250C5">
      <w:pPr>
        <w:jc w:val="center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Předmět plnění</w:t>
      </w:r>
    </w:p>
    <w:p w:rsidR="0080215A" w:rsidRPr="006C31D7" w:rsidRDefault="0080215A" w:rsidP="00C250C5">
      <w:pPr>
        <w:jc w:val="center"/>
        <w:rPr>
          <w:rFonts w:asciiTheme="minorHAnsi" w:hAnsiTheme="minorHAnsi" w:cs="Tahoma"/>
        </w:rPr>
      </w:pPr>
    </w:p>
    <w:p w:rsidR="0080215A" w:rsidRDefault="001260D2" w:rsidP="0080215A">
      <w:pPr>
        <w:jc w:val="both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 xml:space="preserve">Předmětem dodatku je </w:t>
      </w:r>
      <w:r w:rsidR="0052579A">
        <w:rPr>
          <w:rFonts w:asciiTheme="minorHAnsi" w:hAnsiTheme="minorHAnsi" w:cs="Tahoma"/>
        </w:rPr>
        <w:t>změna</w:t>
      </w:r>
      <w:r w:rsidR="002D38E9" w:rsidRPr="002D38E9">
        <w:rPr>
          <w:rFonts w:asciiTheme="minorHAnsi" w:hAnsiTheme="minorHAnsi" w:cs="Tahoma"/>
        </w:rPr>
        <w:t xml:space="preserve"> </w:t>
      </w:r>
      <w:r w:rsidRPr="002D38E9">
        <w:rPr>
          <w:rFonts w:asciiTheme="minorHAnsi" w:hAnsiTheme="minorHAnsi" w:cs="Tahoma"/>
        </w:rPr>
        <w:t>poskytnutých</w:t>
      </w:r>
      <w:r w:rsidRPr="006C31D7">
        <w:rPr>
          <w:rFonts w:asciiTheme="minorHAnsi" w:hAnsiTheme="minorHAnsi" w:cs="Tahoma"/>
        </w:rPr>
        <w:t xml:space="preserve"> užívacích práv</w:t>
      </w:r>
      <w:r w:rsidRPr="006C31D7">
        <w:rPr>
          <w:rFonts w:asciiTheme="minorHAnsi" w:hAnsiTheme="minorHAnsi" w:cs="Tahoma"/>
          <w:b/>
        </w:rPr>
        <w:t xml:space="preserve"> </w:t>
      </w:r>
      <w:r w:rsidRPr="006C31D7">
        <w:rPr>
          <w:rFonts w:asciiTheme="minorHAnsi" w:hAnsiTheme="minorHAnsi" w:cs="Tahoma"/>
        </w:rPr>
        <w:t xml:space="preserve">ke službě právního informačního systému ASPI </w:t>
      </w:r>
      <w:r w:rsidRPr="006C31D7">
        <w:rPr>
          <w:rFonts w:asciiTheme="minorHAnsi" w:hAnsiTheme="minorHAnsi" w:cs="Tahoma"/>
          <w:i/>
        </w:rPr>
        <w:t>(dále jen „Systém ASPI“)</w:t>
      </w:r>
      <w:r w:rsidR="00CB5D76">
        <w:rPr>
          <w:rFonts w:asciiTheme="minorHAnsi" w:hAnsiTheme="minorHAnsi" w:cs="Tahoma"/>
          <w:i/>
        </w:rPr>
        <w:t>.</w:t>
      </w:r>
      <w:r w:rsidRPr="006C31D7">
        <w:rPr>
          <w:rFonts w:asciiTheme="minorHAnsi" w:hAnsiTheme="minorHAnsi" w:cs="Tahoma"/>
        </w:rPr>
        <w:t xml:space="preserve"> </w:t>
      </w:r>
    </w:p>
    <w:p w:rsidR="0080215A" w:rsidRDefault="00CB5D76" w:rsidP="0080215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="Tahoma"/>
        </w:rPr>
      </w:pPr>
      <w:r w:rsidRPr="0080215A">
        <w:rPr>
          <w:rFonts w:asciiTheme="minorHAnsi" w:hAnsiTheme="minorHAnsi" w:cs="Tahoma"/>
        </w:rPr>
        <w:t xml:space="preserve">Obsah služby systému ASPI se </w:t>
      </w:r>
      <w:r w:rsidR="0080215A" w:rsidRPr="0080215A">
        <w:rPr>
          <w:rFonts w:asciiTheme="minorHAnsi" w:hAnsiTheme="minorHAnsi" w:cs="Tahoma"/>
        </w:rPr>
        <w:t>tedy mění na specifikaci dle Přílohy číslo 1.</w:t>
      </w:r>
    </w:p>
    <w:p w:rsidR="00CB5D76" w:rsidRPr="0080215A" w:rsidRDefault="0080215A" w:rsidP="0080215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Platforma Unix se mění na </w:t>
      </w:r>
      <w:proofErr w:type="spellStart"/>
      <w:r>
        <w:rPr>
          <w:rFonts w:asciiTheme="minorHAnsi" w:hAnsiTheme="minorHAnsi" w:cs="Tahoma"/>
        </w:rPr>
        <w:t>Cloudové</w:t>
      </w:r>
      <w:proofErr w:type="spellEnd"/>
      <w:r>
        <w:rPr>
          <w:rFonts w:asciiTheme="minorHAnsi" w:hAnsiTheme="minorHAnsi" w:cs="Tahoma"/>
        </w:rPr>
        <w:t xml:space="preserve"> řešení, počet současných přístupů zůstává 10.</w:t>
      </w:r>
      <w:r w:rsidR="00CB5D76" w:rsidRPr="0080215A">
        <w:rPr>
          <w:rFonts w:asciiTheme="minorHAnsi" w:hAnsiTheme="minorHAnsi" w:cs="Tahoma"/>
        </w:rPr>
        <w:tab/>
      </w:r>
    </w:p>
    <w:p w:rsidR="00CB5D76" w:rsidRPr="002C4BF2" w:rsidRDefault="00CB5D76" w:rsidP="0080215A">
      <w:pPr>
        <w:pStyle w:val="Odstavecseseznamem"/>
        <w:ind w:left="426" w:hanging="426"/>
        <w:rPr>
          <w:rFonts w:asciiTheme="minorHAnsi" w:hAnsiTheme="minorHAnsi" w:cs="Tahoma"/>
        </w:rPr>
      </w:pPr>
    </w:p>
    <w:p w:rsidR="003E59EF" w:rsidRPr="006C31D7" w:rsidRDefault="003E59EF" w:rsidP="0080215A">
      <w:pPr>
        <w:ind w:left="426" w:hanging="426"/>
        <w:jc w:val="center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II.</w:t>
      </w:r>
    </w:p>
    <w:p w:rsidR="00C250C5" w:rsidRPr="006C31D7" w:rsidRDefault="00C250C5" w:rsidP="0080215A">
      <w:pPr>
        <w:ind w:left="426" w:hanging="426"/>
        <w:jc w:val="center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Cena plnění</w:t>
      </w:r>
    </w:p>
    <w:p w:rsidR="00C250C5" w:rsidRPr="006C31D7" w:rsidRDefault="00C250C5" w:rsidP="0080215A">
      <w:pPr>
        <w:ind w:left="426" w:hanging="426"/>
        <w:jc w:val="center"/>
        <w:rPr>
          <w:rFonts w:asciiTheme="minorHAnsi" w:hAnsiTheme="minorHAnsi" w:cs="Tahoma"/>
        </w:rPr>
      </w:pPr>
    </w:p>
    <w:p w:rsidR="00734A89" w:rsidRPr="006C31D7" w:rsidRDefault="007C5D22" w:rsidP="0080215A">
      <w:pPr>
        <w:jc w:val="both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 xml:space="preserve">Cena předmětu plnění </w:t>
      </w:r>
      <w:r w:rsidR="00BA29CC" w:rsidRPr="006C31D7">
        <w:rPr>
          <w:rFonts w:asciiTheme="minorHAnsi" w:hAnsiTheme="minorHAnsi" w:cs="Tahoma"/>
        </w:rPr>
        <w:t xml:space="preserve">smlouvy </w:t>
      </w:r>
      <w:r w:rsidRPr="006C31D7">
        <w:rPr>
          <w:rFonts w:asciiTheme="minorHAnsi" w:hAnsiTheme="minorHAnsi" w:cs="Tahoma"/>
        </w:rPr>
        <w:t xml:space="preserve">byla </w:t>
      </w:r>
      <w:r w:rsidR="00BA29CC" w:rsidRPr="006C31D7">
        <w:rPr>
          <w:rFonts w:asciiTheme="minorHAnsi" w:hAnsiTheme="minorHAnsi" w:cs="Tahoma"/>
        </w:rPr>
        <w:t xml:space="preserve">s ohledem na </w:t>
      </w:r>
      <w:r w:rsidR="0052579A">
        <w:rPr>
          <w:rFonts w:asciiTheme="minorHAnsi" w:hAnsiTheme="minorHAnsi" w:cs="Tahoma"/>
        </w:rPr>
        <w:t>změnu, která je kompletně specifikovaná</w:t>
      </w:r>
      <w:r w:rsidR="00BA29CC" w:rsidRPr="006C31D7">
        <w:rPr>
          <w:rFonts w:asciiTheme="minorHAnsi" w:hAnsiTheme="minorHAnsi" w:cs="Tahoma"/>
        </w:rPr>
        <w:t xml:space="preserve"> v</w:t>
      </w:r>
      <w:r w:rsidR="002D38E9">
        <w:rPr>
          <w:rFonts w:asciiTheme="minorHAnsi" w:hAnsiTheme="minorHAnsi" w:cs="Tahoma"/>
        </w:rPr>
        <w:t> Příloze číslo 1</w:t>
      </w:r>
      <w:r w:rsidRPr="006C31D7">
        <w:rPr>
          <w:rFonts w:asciiTheme="minorHAnsi" w:hAnsiTheme="minorHAnsi" w:cs="Tahoma"/>
        </w:rPr>
        <w:t xml:space="preserve"> tohoto dodatku</w:t>
      </w:r>
      <w:r w:rsidR="00BA29CC" w:rsidRPr="006C31D7">
        <w:rPr>
          <w:rFonts w:asciiTheme="minorHAnsi" w:hAnsiTheme="minorHAnsi" w:cs="Tahoma"/>
        </w:rPr>
        <w:t xml:space="preserve">, </w:t>
      </w:r>
      <w:r w:rsidRPr="006C31D7">
        <w:rPr>
          <w:rFonts w:asciiTheme="minorHAnsi" w:hAnsiTheme="minorHAnsi" w:cs="Tahoma"/>
        </w:rPr>
        <w:t xml:space="preserve">v souladu s platnými právními předpisy </w:t>
      </w:r>
      <w:r w:rsidR="00E702FD" w:rsidRPr="006C31D7">
        <w:rPr>
          <w:rFonts w:asciiTheme="minorHAnsi" w:hAnsiTheme="minorHAnsi" w:cs="Tahoma"/>
        </w:rPr>
        <w:t xml:space="preserve">sjednána dohodou stran </w:t>
      </w:r>
      <w:r w:rsidRPr="006C31D7">
        <w:rPr>
          <w:rFonts w:asciiTheme="minorHAnsi" w:hAnsiTheme="minorHAnsi" w:cs="Tahoma"/>
        </w:rPr>
        <w:t>a bez DPH činí:</w:t>
      </w:r>
    </w:p>
    <w:p w:rsidR="0029772D" w:rsidRPr="006C31D7" w:rsidRDefault="0029772D" w:rsidP="0080215A">
      <w:pPr>
        <w:ind w:left="426" w:hanging="426"/>
        <w:jc w:val="both"/>
        <w:rPr>
          <w:rFonts w:asciiTheme="minorHAnsi" w:hAnsiTheme="minorHAnsi" w:cs="Tahoma"/>
        </w:rPr>
      </w:pPr>
    </w:p>
    <w:p w:rsidR="00BF467C" w:rsidRPr="0052579A" w:rsidRDefault="00BF467C" w:rsidP="0080215A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Theme="minorHAnsi" w:hAnsiTheme="minorHAnsi" w:cs="Tahoma"/>
        </w:rPr>
      </w:pPr>
      <w:r w:rsidRPr="0052579A">
        <w:rPr>
          <w:rFonts w:asciiTheme="minorHAnsi" w:hAnsiTheme="minorHAnsi" w:cs="Tahoma"/>
        </w:rPr>
        <w:t>Roční</w:t>
      </w:r>
      <w:r w:rsidR="007C4E23">
        <w:rPr>
          <w:rFonts w:asciiTheme="minorHAnsi" w:hAnsiTheme="minorHAnsi" w:cs="Tahoma"/>
        </w:rPr>
        <w:t xml:space="preserve"> předplatné služby systému ASPI</w:t>
      </w:r>
      <w:r w:rsidR="001260D2" w:rsidRPr="0052579A">
        <w:rPr>
          <w:rFonts w:asciiTheme="minorHAnsi" w:hAnsiTheme="minorHAnsi" w:cs="Tahoma"/>
        </w:rPr>
        <w:t xml:space="preserve"> </w:t>
      </w:r>
      <w:r w:rsidR="00D24387" w:rsidRPr="0052579A">
        <w:rPr>
          <w:rFonts w:asciiTheme="minorHAnsi" w:hAnsiTheme="minorHAnsi" w:cs="Tahoma"/>
        </w:rPr>
        <w:t xml:space="preserve">se mění z částky </w:t>
      </w:r>
      <w:r w:rsidR="0080215A">
        <w:rPr>
          <w:rFonts w:asciiTheme="minorHAnsi" w:hAnsiTheme="minorHAnsi" w:cs="Tahoma"/>
        </w:rPr>
        <w:t>71.934</w:t>
      </w:r>
      <w:r w:rsidR="00D24387" w:rsidRPr="0052579A">
        <w:rPr>
          <w:rFonts w:asciiTheme="minorHAnsi" w:hAnsiTheme="minorHAnsi" w:cs="Tahoma"/>
        </w:rPr>
        <w:t xml:space="preserve"> Kč na částku </w:t>
      </w:r>
      <w:r w:rsidR="0080215A">
        <w:rPr>
          <w:rFonts w:asciiTheme="minorHAnsi" w:hAnsiTheme="minorHAnsi" w:cs="Tahoma"/>
        </w:rPr>
        <w:t>77.760</w:t>
      </w:r>
      <w:r w:rsidR="0052579A">
        <w:rPr>
          <w:rFonts w:asciiTheme="minorHAnsi" w:hAnsiTheme="minorHAnsi" w:cs="Tahoma"/>
        </w:rPr>
        <w:t xml:space="preserve"> </w:t>
      </w:r>
      <w:r w:rsidR="00D24387" w:rsidRPr="0052579A">
        <w:rPr>
          <w:rFonts w:asciiTheme="minorHAnsi" w:hAnsiTheme="minorHAnsi" w:cs="Tahoma"/>
        </w:rPr>
        <w:t>Kč</w:t>
      </w:r>
      <w:r w:rsidR="002D38E9" w:rsidRPr="0052579A">
        <w:rPr>
          <w:rFonts w:asciiTheme="minorHAnsi" w:hAnsiTheme="minorHAnsi" w:cs="Tahoma"/>
        </w:rPr>
        <w:t xml:space="preserve"> bez DPH</w:t>
      </w:r>
      <w:r w:rsidR="0052579A">
        <w:rPr>
          <w:rFonts w:asciiTheme="minorHAnsi" w:hAnsiTheme="minorHAnsi" w:cs="Tahoma"/>
        </w:rPr>
        <w:t>.</w:t>
      </w:r>
      <w:r w:rsidR="002D38E9" w:rsidRPr="0052579A">
        <w:rPr>
          <w:rFonts w:asciiTheme="minorHAnsi" w:hAnsiTheme="minorHAnsi" w:cs="Tahoma"/>
        </w:rPr>
        <w:t xml:space="preserve"> V roce 2016 se bude z této částky účtovat pouze poměrná část</w:t>
      </w:r>
      <w:r w:rsidR="00000DD4">
        <w:rPr>
          <w:rFonts w:asciiTheme="minorHAnsi" w:hAnsiTheme="minorHAnsi" w:cs="Tahoma"/>
        </w:rPr>
        <w:t>, a to ode dne zřízení přístupu k rozšířené službě systému ASPI</w:t>
      </w:r>
      <w:r w:rsidR="0052579A">
        <w:rPr>
          <w:rFonts w:asciiTheme="minorHAnsi" w:hAnsiTheme="minorHAnsi" w:cs="Tahoma"/>
        </w:rPr>
        <w:t>.</w:t>
      </w:r>
    </w:p>
    <w:p w:rsidR="00C250C5" w:rsidRPr="006C31D7" w:rsidRDefault="00C250C5" w:rsidP="0080215A">
      <w:pPr>
        <w:pStyle w:val="Odstavecseseznamem"/>
        <w:ind w:left="426" w:hanging="426"/>
        <w:rPr>
          <w:rFonts w:asciiTheme="minorHAnsi" w:hAnsiTheme="minorHAnsi" w:cs="Tahoma"/>
        </w:rPr>
      </w:pPr>
    </w:p>
    <w:p w:rsidR="00BF467C" w:rsidRDefault="00BF467C" w:rsidP="00BF467C">
      <w:pPr>
        <w:jc w:val="center"/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>III.</w:t>
      </w:r>
    </w:p>
    <w:p w:rsidR="0052579A" w:rsidRPr="006C31D7" w:rsidRDefault="0052579A" w:rsidP="00BF467C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Ostatní ujednání</w:t>
      </w:r>
    </w:p>
    <w:p w:rsidR="00DD31BF" w:rsidRDefault="00DD31BF" w:rsidP="00391848">
      <w:pPr>
        <w:jc w:val="both"/>
        <w:rPr>
          <w:rFonts w:asciiTheme="minorHAnsi" w:hAnsiTheme="minorHAnsi" w:cs="Tahoma"/>
        </w:rPr>
      </w:pPr>
    </w:p>
    <w:p w:rsidR="00DD31BF" w:rsidRDefault="00DD31BF" w:rsidP="00DD31BF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Tato dodatek se uzavírá na dobu neurčitou s výpovědní lhůtou 3 měsíce a nabývá účinnosti dnem uveřejnění v registru smluv dle §6 odst. 1 zákona 340/2015 Sb. o registru smluv objednatelem. </w:t>
      </w:r>
      <w:r w:rsidR="001A1222">
        <w:rPr>
          <w:rFonts w:ascii="Calibri" w:hAnsi="Calibri"/>
          <w:sz w:val="20"/>
          <w:szCs w:val="20"/>
        </w:rPr>
        <w:t xml:space="preserve">Smluvní strany tímto výslovně sjednávají, že nehledě na znění Všeobecných obchodních podmínek </w:t>
      </w:r>
      <w:proofErr w:type="spellStart"/>
      <w:r w:rsidR="001A1222">
        <w:rPr>
          <w:rFonts w:ascii="Calibri" w:hAnsi="Calibri"/>
          <w:sz w:val="20"/>
          <w:szCs w:val="20"/>
        </w:rPr>
        <w:t>Wolters</w:t>
      </w:r>
      <w:proofErr w:type="spellEnd"/>
      <w:r w:rsidR="001A1222">
        <w:rPr>
          <w:rFonts w:ascii="Calibri" w:hAnsi="Calibri"/>
          <w:sz w:val="20"/>
          <w:szCs w:val="20"/>
        </w:rPr>
        <w:t xml:space="preserve"> </w:t>
      </w:r>
      <w:proofErr w:type="spellStart"/>
      <w:r w:rsidR="001A1222">
        <w:rPr>
          <w:rFonts w:ascii="Calibri" w:hAnsi="Calibri"/>
          <w:sz w:val="20"/>
          <w:szCs w:val="20"/>
        </w:rPr>
        <w:t>Kluwer</w:t>
      </w:r>
      <w:proofErr w:type="spellEnd"/>
      <w:r w:rsidR="001A1222">
        <w:rPr>
          <w:rFonts w:ascii="Calibri" w:hAnsi="Calibri"/>
          <w:sz w:val="20"/>
          <w:szCs w:val="20"/>
        </w:rPr>
        <w:t xml:space="preserve"> ČR, a.s., mohou být tento dodatek, smlouva č. S-8004/05/KHX uveřejněny v registru smluv a to v úplné podobě a včetně všech jejich příloh. </w:t>
      </w:r>
      <w:r>
        <w:rPr>
          <w:rFonts w:ascii="Calibri" w:hAnsi="Calibri"/>
          <w:sz w:val="20"/>
          <w:szCs w:val="20"/>
        </w:rPr>
        <w:t>V případě nesplnění zákonné povinnosti zveřejnění smlouvy v registru smluv objednatelem dle zákon</w:t>
      </w:r>
      <w:r w:rsidR="0085510B">
        <w:rPr>
          <w:rFonts w:ascii="Calibri" w:hAnsi="Calibri"/>
          <w:sz w:val="20"/>
          <w:szCs w:val="20"/>
        </w:rPr>
        <w:t>a č.</w:t>
      </w: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 340/2015 Sb., nezaniká právo na náhradu vzniklé škody poskytovateli. </w:t>
      </w:r>
      <w:r w:rsidRPr="00DD31BF">
        <w:rPr>
          <w:rFonts w:ascii="Calibri" w:hAnsi="Calibri"/>
          <w:sz w:val="20"/>
          <w:szCs w:val="20"/>
        </w:rPr>
        <w:t>Poměrná část ročního předplatného za první kalendářní rok je fakturována po zřízení přístupu k rozšířené službě systému ASPI</w:t>
      </w:r>
      <w:r w:rsidR="00000DD4">
        <w:rPr>
          <w:rFonts w:ascii="Calibri" w:hAnsi="Calibri"/>
          <w:sz w:val="20"/>
          <w:szCs w:val="20"/>
        </w:rPr>
        <w:t>, přičemž na faktuře musí být přesně uvedeno období, za které se poměrná část předplatného fakturuje</w:t>
      </w:r>
      <w:r w:rsidRPr="00DD31BF">
        <w:rPr>
          <w:rFonts w:ascii="Calibri" w:hAnsi="Calibri"/>
          <w:sz w:val="20"/>
          <w:szCs w:val="20"/>
        </w:rPr>
        <w:t>.</w:t>
      </w:r>
    </w:p>
    <w:p w:rsidR="0091484F" w:rsidRPr="00DD31BF" w:rsidRDefault="00DD31BF" w:rsidP="00DD31BF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Minimální délka předplatného služby ASPI </w:t>
      </w:r>
      <w:r w:rsidRPr="00DD31BF">
        <w:rPr>
          <w:rFonts w:ascii="Calibri" w:hAnsi="Calibri"/>
          <w:sz w:val="20"/>
          <w:szCs w:val="20"/>
        </w:rPr>
        <w:t xml:space="preserve">je </w:t>
      </w:r>
      <w:r w:rsidR="00E93F7D">
        <w:rPr>
          <w:rFonts w:ascii="Calibri" w:hAnsi="Calibri"/>
          <w:sz w:val="20"/>
          <w:szCs w:val="20"/>
        </w:rPr>
        <w:t>48</w:t>
      </w:r>
      <w:r w:rsidRPr="00DD31BF">
        <w:rPr>
          <w:rFonts w:ascii="Calibri" w:hAnsi="Calibri"/>
          <w:sz w:val="20"/>
          <w:szCs w:val="20"/>
        </w:rPr>
        <w:t xml:space="preserve"> měsíců od</w:t>
      </w:r>
      <w:r>
        <w:rPr>
          <w:rFonts w:ascii="Calibri" w:hAnsi="Calibri"/>
          <w:sz w:val="20"/>
          <w:szCs w:val="20"/>
        </w:rPr>
        <w:t xml:space="preserve"> podpisu smlouvy</w:t>
      </w:r>
      <w:r w:rsidR="00F7489F">
        <w:rPr>
          <w:rFonts w:asciiTheme="minorHAnsi" w:hAnsiTheme="minorHAnsi"/>
          <w:sz w:val="20"/>
          <w:szCs w:val="20"/>
        </w:rPr>
        <w:t>, za což byla poskytnuta sleva 10</w:t>
      </w:r>
      <w:r w:rsidRPr="00DD31BF">
        <w:rPr>
          <w:rFonts w:asciiTheme="minorHAnsi" w:hAnsiTheme="minorHAnsi"/>
          <w:sz w:val="20"/>
          <w:szCs w:val="20"/>
        </w:rPr>
        <w:t>%.</w:t>
      </w:r>
      <w:r>
        <w:rPr>
          <w:rFonts w:ascii="Calibri" w:hAnsi="Calibri"/>
          <w:sz w:val="20"/>
          <w:szCs w:val="20"/>
        </w:rPr>
        <w:t xml:space="preserve"> Přístup ke službě systému ASPI je poskytován po celou dobu řádně uhrazeného předplatného. Již uhrazené předplatné nelze požadovat zpět. Nedílnou součástí této smlouvy jsou Všeobecné obchodní podmínky </w:t>
      </w:r>
      <w:proofErr w:type="spellStart"/>
      <w:r>
        <w:rPr>
          <w:rFonts w:ascii="Calibri" w:hAnsi="Calibri"/>
          <w:sz w:val="20"/>
          <w:szCs w:val="20"/>
        </w:rPr>
        <w:t>Wolters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Kluwer</w:t>
      </w:r>
      <w:proofErr w:type="spellEnd"/>
      <w:r>
        <w:rPr>
          <w:rFonts w:ascii="Calibri" w:hAnsi="Calibri"/>
          <w:sz w:val="20"/>
          <w:szCs w:val="20"/>
        </w:rPr>
        <w:t xml:space="preserve"> ČR, a.s. v platném znění (příloha č.2). Objednatel podpisem této smlouvy potvrzuje, že se seznámil s jejich zněním a že je jako součást smluvního ujednání s poskytovatelem přijímá.</w:t>
      </w:r>
    </w:p>
    <w:p w:rsidR="0091484F" w:rsidRPr="006C31D7" w:rsidRDefault="0091484F" w:rsidP="00210943">
      <w:pPr>
        <w:rPr>
          <w:rFonts w:asciiTheme="minorHAnsi" w:hAnsiTheme="minorHAnsi" w:cs="Tahoma"/>
        </w:rPr>
      </w:pPr>
    </w:p>
    <w:p w:rsidR="00F53379" w:rsidRDefault="00BC4143" w:rsidP="00616030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 xml:space="preserve">      </w:t>
      </w:r>
      <w:r w:rsidR="0091484F" w:rsidRPr="006C31D7">
        <w:rPr>
          <w:rFonts w:asciiTheme="minorHAnsi" w:hAnsiTheme="minorHAnsi" w:cs="Tahoma"/>
        </w:rPr>
        <w:t>V </w:t>
      </w:r>
      <w:r w:rsidR="002C4BF2" w:rsidRPr="006C31D7">
        <w:rPr>
          <w:rFonts w:asciiTheme="minorHAnsi" w:hAnsiTheme="minorHAnsi" w:cs="Tahoma"/>
        </w:rPr>
        <w:t>Praze</w:t>
      </w:r>
      <w:r w:rsidR="00AF3380" w:rsidRPr="006C31D7">
        <w:rPr>
          <w:rFonts w:asciiTheme="minorHAnsi" w:hAnsiTheme="minorHAnsi" w:cs="Tahoma"/>
        </w:rPr>
        <w:t xml:space="preserve">, dne </w:t>
      </w:r>
      <w:proofErr w:type="gramStart"/>
      <w:r w:rsidR="00000DD4">
        <w:rPr>
          <w:rFonts w:asciiTheme="minorHAnsi" w:hAnsiTheme="minorHAnsi" w:cs="Tahoma"/>
        </w:rPr>
        <w:t>26.10.2016</w:t>
      </w:r>
      <w:proofErr w:type="gramEnd"/>
      <w:r w:rsidR="00D17D6F" w:rsidRPr="006C31D7">
        <w:rPr>
          <w:rFonts w:asciiTheme="minorHAnsi" w:hAnsiTheme="minorHAnsi" w:cs="Tahoma"/>
        </w:rPr>
        <w:tab/>
      </w:r>
      <w:r w:rsidR="00AF3380" w:rsidRPr="006C31D7">
        <w:rPr>
          <w:rFonts w:asciiTheme="minorHAnsi" w:hAnsiTheme="minorHAnsi" w:cs="Tahoma"/>
        </w:rPr>
        <w:t xml:space="preserve">                              </w:t>
      </w:r>
      <w:r w:rsidR="0087034A" w:rsidRPr="006C31D7">
        <w:rPr>
          <w:rFonts w:asciiTheme="minorHAnsi" w:hAnsiTheme="minorHAnsi" w:cs="Tahoma"/>
        </w:rPr>
        <w:t xml:space="preserve">    </w:t>
      </w:r>
      <w:r w:rsidR="0091484F" w:rsidRPr="006C31D7">
        <w:rPr>
          <w:rFonts w:asciiTheme="minorHAnsi" w:hAnsiTheme="minorHAnsi" w:cs="Tahoma"/>
        </w:rPr>
        <w:t xml:space="preserve">    </w:t>
      </w:r>
      <w:r w:rsidR="00755978">
        <w:rPr>
          <w:rFonts w:asciiTheme="minorHAnsi" w:hAnsiTheme="minorHAnsi" w:cs="Tahoma"/>
        </w:rPr>
        <w:tab/>
      </w:r>
      <w:r w:rsidR="00755978">
        <w:rPr>
          <w:rFonts w:asciiTheme="minorHAnsi" w:hAnsiTheme="minorHAnsi" w:cs="Tahoma"/>
        </w:rPr>
        <w:tab/>
      </w:r>
      <w:r w:rsidR="0091484F" w:rsidRPr="006C31D7">
        <w:rPr>
          <w:rFonts w:asciiTheme="minorHAnsi" w:hAnsiTheme="minorHAnsi" w:cs="Tahoma"/>
        </w:rPr>
        <w:t xml:space="preserve">    </w:t>
      </w:r>
      <w:r w:rsidR="00D17D6F" w:rsidRPr="006C31D7">
        <w:rPr>
          <w:rFonts w:asciiTheme="minorHAnsi" w:hAnsiTheme="minorHAnsi" w:cs="Tahoma"/>
        </w:rPr>
        <w:t xml:space="preserve">V Praze, dne </w:t>
      </w:r>
      <w:r w:rsidR="00000DD4">
        <w:rPr>
          <w:rFonts w:asciiTheme="minorHAnsi" w:hAnsiTheme="minorHAnsi" w:cs="Tahoma"/>
        </w:rPr>
        <w:t>3.11.2016</w:t>
      </w:r>
    </w:p>
    <w:p w:rsidR="002C4BF2" w:rsidRDefault="002C4BF2" w:rsidP="00616030">
      <w:pPr>
        <w:rPr>
          <w:rFonts w:asciiTheme="minorHAnsi" w:hAnsiTheme="minorHAnsi" w:cs="Tahoma"/>
        </w:rPr>
      </w:pPr>
    </w:p>
    <w:p w:rsidR="007C4E23" w:rsidRDefault="007C4E23" w:rsidP="00616030">
      <w:pPr>
        <w:rPr>
          <w:rFonts w:asciiTheme="minorHAnsi" w:hAnsiTheme="minorHAnsi" w:cs="Tahoma"/>
        </w:rPr>
      </w:pPr>
    </w:p>
    <w:p w:rsidR="002C4BF2" w:rsidRPr="006C31D7" w:rsidRDefault="002C4BF2" w:rsidP="00616030">
      <w:pPr>
        <w:rPr>
          <w:rFonts w:asciiTheme="minorHAnsi" w:hAnsiTheme="minorHAnsi" w:cs="Tahoma"/>
        </w:rPr>
      </w:pPr>
    </w:p>
    <w:p w:rsidR="003E59EF" w:rsidRPr="006C31D7" w:rsidRDefault="005979EF" w:rsidP="00D030F9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 xml:space="preserve">      </w:t>
      </w:r>
      <w:r w:rsidR="00D030F9" w:rsidRPr="006C31D7">
        <w:rPr>
          <w:rFonts w:asciiTheme="minorHAnsi" w:hAnsiTheme="minorHAnsi" w:cs="Tahoma"/>
        </w:rPr>
        <w:t>---------------------------------</w:t>
      </w:r>
      <w:r w:rsidR="003E59EF" w:rsidRPr="006C31D7">
        <w:rPr>
          <w:rFonts w:asciiTheme="minorHAnsi" w:hAnsiTheme="minorHAnsi" w:cs="Tahoma"/>
        </w:rPr>
        <w:tab/>
      </w:r>
      <w:r w:rsidR="003E59EF" w:rsidRPr="006C31D7">
        <w:rPr>
          <w:rFonts w:asciiTheme="minorHAnsi" w:hAnsiTheme="minorHAnsi" w:cs="Tahoma"/>
        </w:rPr>
        <w:tab/>
        <w:t xml:space="preserve">                             </w:t>
      </w:r>
      <w:r w:rsidR="00BC4143" w:rsidRPr="006C31D7">
        <w:rPr>
          <w:rFonts w:asciiTheme="minorHAnsi" w:hAnsiTheme="minorHAnsi" w:cs="Tahoma"/>
        </w:rPr>
        <w:t xml:space="preserve">                </w:t>
      </w:r>
      <w:r w:rsidRPr="006C31D7">
        <w:rPr>
          <w:rFonts w:asciiTheme="minorHAnsi" w:hAnsiTheme="minorHAnsi" w:cs="Tahoma"/>
        </w:rPr>
        <w:t xml:space="preserve">        </w:t>
      </w:r>
      <w:r w:rsidR="00D030F9" w:rsidRPr="006C31D7">
        <w:rPr>
          <w:rFonts w:asciiTheme="minorHAnsi" w:hAnsiTheme="minorHAnsi" w:cs="Tahoma"/>
        </w:rPr>
        <w:t>---------------------------------</w:t>
      </w:r>
    </w:p>
    <w:p w:rsidR="002B0700" w:rsidRPr="006C31D7" w:rsidRDefault="00BC4143" w:rsidP="0087034A">
      <w:pPr>
        <w:rPr>
          <w:rFonts w:asciiTheme="minorHAnsi" w:hAnsiTheme="minorHAnsi" w:cs="Tahoma"/>
        </w:rPr>
      </w:pPr>
      <w:r w:rsidRPr="006C31D7">
        <w:rPr>
          <w:rFonts w:asciiTheme="minorHAnsi" w:hAnsiTheme="minorHAnsi" w:cs="Tahoma"/>
        </w:rPr>
        <w:t xml:space="preserve">                </w:t>
      </w:r>
      <w:r w:rsidR="00747DB0" w:rsidRPr="006C31D7">
        <w:rPr>
          <w:rFonts w:asciiTheme="minorHAnsi" w:hAnsiTheme="minorHAnsi" w:cs="Tahoma"/>
        </w:rPr>
        <w:t xml:space="preserve"> </w:t>
      </w:r>
      <w:r w:rsidRPr="006C31D7">
        <w:rPr>
          <w:rFonts w:asciiTheme="minorHAnsi" w:hAnsiTheme="minorHAnsi" w:cs="Tahoma"/>
        </w:rPr>
        <w:t xml:space="preserve">objednatel                                               </w:t>
      </w:r>
      <w:r w:rsidR="00747DB0" w:rsidRPr="006C31D7">
        <w:rPr>
          <w:rFonts w:asciiTheme="minorHAnsi" w:hAnsiTheme="minorHAnsi" w:cs="Tahoma"/>
        </w:rPr>
        <w:t xml:space="preserve">                                   </w:t>
      </w:r>
      <w:r w:rsidR="005979EF" w:rsidRPr="006C31D7">
        <w:rPr>
          <w:rFonts w:asciiTheme="minorHAnsi" w:hAnsiTheme="minorHAnsi" w:cs="Tahoma"/>
        </w:rPr>
        <w:t xml:space="preserve">       </w:t>
      </w:r>
      <w:r w:rsidR="00755978">
        <w:rPr>
          <w:rFonts w:asciiTheme="minorHAnsi" w:hAnsiTheme="minorHAnsi" w:cs="Tahoma"/>
        </w:rPr>
        <w:tab/>
      </w:r>
      <w:r w:rsidR="005979EF" w:rsidRPr="006C31D7">
        <w:rPr>
          <w:rFonts w:asciiTheme="minorHAnsi" w:hAnsiTheme="minorHAnsi" w:cs="Tahoma"/>
        </w:rPr>
        <w:t xml:space="preserve">  </w:t>
      </w:r>
      <w:r w:rsidRPr="006C31D7">
        <w:rPr>
          <w:rFonts w:asciiTheme="minorHAnsi" w:hAnsiTheme="minorHAnsi" w:cs="Tahoma"/>
        </w:rPr>
        <w:t>zhotovitel</w:t>
      </w:r>
    </w:p>
    <w:sectPr w:rsidR="002B0700" w:rsidRPr="006C31D7" w:rsidSect="007E1332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B8" w:rsidRDefault="00A139B8" w:rsidP="00BC4143">
      <w:r>
        <w:separator/>
      </w:r>
    </w:p>
  </w:endnote>
  <w:endnote w:type="continuationSeparator" w:id="0">
    <w:p w:rsidR="00A139B8" w:rsidRDefault="00A139B8" w:rsidP="00B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B8" w:rsidRDefault="00A139B8" w:rsidP="00BC4143">
      <w:r>
        <w:separator/>
      </w:r>
    </w:p>
  </w:footnote>
  <w:footnote w:type="continuationSeparator" w:id="0">
    <w:p w:rsidR="00A139B8" w:rsidRDefault="00A139B8" w:rsidP="00BC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B1"/>
    <w:multiLevelType w:val="hybridMultilevel"/>
    <w:tmpl w:val="828469AC"/>
    <w:lvl w:ilvl="0" w:tplc="9280C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859"/>
    <w:multiLevelType w:val="hybridMultilevel"/>
    <w:tmpl w:val="D472AEB4"/>
    <w:lvl w:ilvl="0" w:tplc="80C8194C">
      <w:start w:val="41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00AB"/>
    <w:multiLevelType w:val="hybridMultilevel"/>
    <w:tmpl w:val="8B0CADD2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54D5"/>
    <w:multiLevelType w:val="hybridMultilevel"/>
    <w:tmpl w:val="247E6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06862"/>
    <w:multiLevelType w:val="hybridMultilevel"/>
    <w:tmpl w:val="CDE68F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43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36511"/>
    <w:multiLevelType w:val="hybridMultilevel"/>
    <w:tmpl w:val="5274915E"/>
    <w:lvl w:ilvl="0" w:tplc="591A96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620F8"/>
    <w:multiLevelType w:val="hybridMultilevel"/>
    <w:tmpl w:val="A7783B40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F7A32"/>
    <w:multiLevelType w:val="hybridMultilevel"/>
    <w:tmpl w:val="DA14D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744D"/>
    <w:multiLevelType w:val="hybridMultilevel"/>
    <w:tmpl w:val="19702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765B"/>
    <w:multiLevelType w:val="hybridMultilevel"/>
    <w:tmpl w:val="AFC6B690"/>
    <w:lvl w:ilvl="0" w:tplc="4FA610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22386"/>
    <w:multiLevelType w:val="hybridMultilevel"/>
    <w:tmpl w:val="996C4756"/>
    <w:lvl w:ilvl="0" w:tplc="B3147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51A00"/>
    <w:multiLevelType w:val="hybridMultilevel"/>
    <w:tmpl w:val="A55646A8"/>
    <w:lvl w:ilvl="0" w:tplc="F790D5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81DE4"/>
    <w:multiLevelType w:val="hybridMultilevel"/>
    <w:tmpl w:val="A67C8BAE"/>
    <w:lvl w:ilvl="0" w:tplc="48823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8848D3"/>
    <w:multiLevelType w:val="hybridMultilevel"/>
    <w:tmpl w:val="C2526194"/>
    <w:lvl w:ilvl="0" w:tplc="CB4C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6C79"/>
    <w:multiLevelType w:val="hybridMultilevel"/>
    <w:tmpl w:val="5CE8B7F4"/>
    <w:lvl w:ilvl="0" w:tplc="C31A4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6163B"/>
    <w:multiLevelType w:val="hybridMultilevel"/>
    <w:tmpl w:val="F4C257CE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5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EF"/>
    <w:rsid w:val="00000DD4"/>
    <w:rsid w:val="00006F8B"/>
    <w:rsid w:val="00012FC9"/>
    <w:rsid w:val="00027348"/>
    <w:rsid w:val="000326B4"/>
    <w:rsid w:val="0003712B"/>
    <w:rsid w:val="00061479"/>
    <w:rsid w:val="00066106"/>
    <w:rsid w:val="00086786"/>
    <w:rsid w:val="000A6371"/>
    <w:rsid w:val="000A7650"/>
    <w:rsid w:val="000B604D"/>
    <w:rsid w:val="000B7621"/>
    <w:rsid w:val="000C5A06"/>
    <w:rsid w:val="000C6439"/>
    <w:rsid w:val="000D350A"/>
    <w:rsid w:val="000E54AA"/>
    <w:rsid w:val="00112123"/>
    <w:rsid w:val="001167DD"/>
    <w:rsid w:val="001240AB"/>
    <w:rsid w:val="0012426F"/>
    <w:rsid w:val="001260D2"/>
    <w:rsid w:val="0013213E"/>
    <w:rsid w:val="00132541"/>
    <w:rsid w:val="0016170C"/>
    <w:rsid w:val="00162183"/>
    <w:rsid w:val="0016564B"/>
    <w:rsid w:val="00165959"/>
    <w:rsid w:val="00172C07"/>
    <w:rsid w:val="00174BCD"/>
    <w:rsid w:val="001856E9"/>
    <w:rsid w:val="00197B48"/>
    <w:rsid w:val="001A036C"/>
    <w:rsid w:val="001A1222"/>
    <w:rsid w:val="001B103E"/>
    <w:rsid w:val="001B6B22"/>
    <w:rsid w:val="002019BF"/>
    <w:rsid w:val="00210943"/>
    <w:rsid w:val="002361B8"/>
    <w:rsid w:val="00257D53"/>
    <w:rsid w:val="00262797"/>
    <w:rsid w:val="00263A57"/>
    <w:rsid w:val="00287B4B"/>
    <w:rsid w:val="0029772D"/>
    <w:rsid w:val="002B0700"/>
    <w:rsid w:val="002B1E2D"/>
    <w:rsid w:val="002B3310"/>
    <w:rsid w:val="002C4BF2"/>
    <w:rsid w:val="002C4FE1"/>
    <w:rsid w:val="002D38E9"/>
    <w:rsid w:val="002F498C"/>
    <w:rsid w:val="00305954"/>
    <w:rsid w:val="00322F82"/>
    <w:rsid w:val="00325EF9"/>
    <w:rsid w:val="0033029F"/>
    <w:rsid w:val="00330A5D"/>
    <w:rsid w:val="003373F4"/>
    <w:rsid w:val="00344785"/>
    <w:rsid w:val="00345560"/>
    <w:rsid w:val="0036010D"/>
    <w:rsid w:val="00361EB5"/>
    <w:rsid w:val="00362776"/>
    <w:rsid w:val="00372A64"/>
    <w:rsid w:val="00374DAC"/>
    <w:rsid w:val="0037753F"/>
    <w:rsid w:val="00382E5E"/>
    <w:rsid w:val="00387421"/>
    <w:rsid w:val="00391848"/>
    <w:rsid w:val="003B77EC"/>
    <w:rsid w:val="003E1405"/>
    <w:rsid w:val="003E59EF"/>
    <w:rsid w:val="003F3AB1"/>
    <w:rsid w:val="00414230"/>
    <w:rsid w:val="0041681E"/>
    <w:rsid w:val="00416A1C"/>
    <w:rsid w:val="00423629"/>
    <w:rsid w:val="00425DB7"/>
    <w:rsid w:val="00432445"/>
    <w:rsid w:val="00434881"/>
    <w:rsid w:val="004352BC"/>
    <w:rsid w:val="00451289"/>
    <w:rsid w:val="00462ED2"/>
    <w:rsid w:val="00467120"/>
    <w:rsid w:val="00482759"/>
    <w:rsid w:val="00496C6E"/>
    <w:rsid w:val="004B3174"/>
    <w:rsid w:val="004B3A6C"/>
    <w:rsid w:val="004B41AB"/>
    <w:rsid w:val="004B4FE0"/>
    <w:rsid w:val="004B6D92"/>
    <w:rsid w:val="004D7002"/>
    <w:rsid w:val="00504B18"/>
    <w:rsid w:val="00517291"/>
    <w:rsid w:val="005174FC"/>
    <w:rsid w:val="0052579A"/>
    <w:rsid w:val="00535971"/>
    <w:rsid w:val="00537FAB"/>
    <w:rsid w:val="005459B6"/>
    <w:rsid w:val="00557C25"/>
    <w:rsid w:val="005650FF"/>
    <w:rsid w:val="005979EF"/>
    <w:rsid w:val="005D600E"/>
    <w:rsid w:val="005E2D1A"/>
    <w:rsid w:val="005E69E0"/>
    <w:rsid w:val="005F5FCF"/>
    <w:rsid w:val="005F7F3B"/>
    <w:rsid w:val="0060231D"/>
    <w:rsid w:val="00614634"/>
    <w:rsid w:val="00614DB7"/>
    <w:rsid w:val="00616030"/>
    <w:rsid w:val="00621D54"/>
    <w:rsid w:val="00623AFF"/>
    <w:rsid w:val="006312EE"/>
    <w:rsid w:val="00654BF2"/>
    <w:rsid w:val="006553D3"/>
    <w:rsid w:val="006671FA"/>
    <w:rsid w:val="006734E4"/>
    <w:rsid w:val="00683702"/>
    <w:rsid w:val="00683E27"/>
    <w:rsid w:val="006A5625"/>
    <w:rsid w:val="006B0A2F"/>
    <w:rsid w:val="006B5842"/>
    <w:rsid w:val="006C0405"/>
    <w:rsid w:val="006C31D7"/>
    <w:rsid w:val="006C54A4"/>
    <w:rsid w:val="006C592C"/>
    <w:rsid w:val="006D60D9"/>
    <w:rsid w:val="006F6D6A"/>
    <w:rsid w:val="007035A3"/>
    <w:rsid w:val="00703B0D"/>
    <w:rsid w:val="0073049E"/>
    <w:rsid w:val="00733E32"/>
    <w:rsid w:val="00734A89"/>
    <w:rsid w:val="00741C5A"/>
    <w:rsid w:val="00747DB0"/>
    <w:rsid w:val="00755978"/>
    <w:rsid w:val="00766319"/>
    <w:rsid w:val="00791B84"/>
    <w:rsid w:val="007A5B87"/>
    <w:rsid w:val="007C4E23"/>
    <w:rsid w:val="007C5D22"/>
    <w:rsid w:val="007C7CD0"/>
    <w:rsid w:val="007D4364"/>
    <w:rsid w:val="007E1332"/>
    <w:rsid w:val="007F793B"/>
    <w:rsid w:val="008014AB"/>
    <w:rsid w:val="0080215A"/>
    <w:rsid w:val="0080567C"/>
    <w:rsid w:val="008079CF"/>
    <w:rsid w:val="00821EDD"/>
    <w:rsid w:val="008265CD"/>
    <w:rsid w:val="008370D6"/>
    <w:rsid w:val="00841770"/>
    <w:rsid w:val="00846894"/>
    <w:rsid w:val="008519C8"/>
    <w:rsid w:val="00851F37"/>
    <w:rsid w:val="0085510B"/>
    <w:rsid w:val="00864407"/>
    <w:rsid w:val="0087034A"/>
    <w:rsid w:val="00873EC9"/>
    <w:rsid w:val="0088686C"/>
    <w:rsid w:val="00890905"/>
    <w:rsid w:val="008A3296"/>
    <w:rsid w:val="008B43E2"/>
    <w:rsid w:val="008D4599"/>
    <w:rsid w:val="008D4EF3"/>
    <w:rsid w:val="008F1688"/>
    <w:rsid w:val="008F175D"/>
    <w:rsid w:val="008F19A3"/>
    <w:rsid w:val="008F4E44"/>
    <w:rsid w:val="009103E6"/>
    <w:rsid w:val="0091193F"/>
    <w:rsid w:val="009137B6"/>
    <w:rsid w:val="0091484F"/>
    <w:rsid w:val="00914A21"/>
    <w:rsid w:val="00916036"/>
    <w:rsid w:val="00944E6C"/>
    <w:rsid w:val="00993AD4"/>
    <w:rsid w:val="009A2CB0"/>
    <w:rsid w:val="009A39DF"/>
    <w:rsid w:val="009B4C74"/>
    <w:rsid w:val="009B5190"/>
    <w:rsid w:val="009C62B8"/>
    <w:rsid w:val="009D55D5"/>
    <w:rsid w:val="009F3807"/>
    <w:rsid w:val="00A139B8"/>
    <w:rsid w:val="00A179D3"/>
    <w:rsid w:val="00A20C74"/>
    <w:rsid w:val="00A2627F"/>
    <w:rsid w:val="00A42690"/>
    <w:rsid w:val="00A47065"/>
    <w:rsid w:val="00A607BC"/>
    <w:rsid w:val="00A73041"/>
    <w:rsid w:val="00A86346"/>
    <w:rsid w:val="00A90AFB"/>
    <w:rsid w:val="00AD05A2"/>
    <w:rsid w:val="00AD5D32"/>
    <w:rsid w:val="00AE5197"/>
    <w:rsid w:val="00AF3380"/>
    <w:rsid w:val="00B06ABF"/>
    <w:rsid w:val="00B14B77"/>
    <w:rsid w:val="00B90593"/>
    <w:rsid w:val="00B93330"/>
    <w:rsid w:val="00B96D51"/>
    <w:rsid w:val="00BA29CC"/>
    <w:rsid w:val="00BA6E88"/>
    <w:rsid w:val="00BC0CE5"/>
    <w:rsid w:val="00BC4143"/>
    <w:rsid w:val="00BD161C"/>
    <w:rsid w:val="00BE2203"/>
    <w:rsid w:val="00BF02CB"/>
    <w:rsid w:val="00BF0867"/>
    <w:rsid w:val="00BF162E"/>
    <w:rsid w:val="00BF467C"/>
    <w:rsid w:val="00C06BFE"/>
    <w:rsid w:val="00C15440"/>
    <w:rsid w:val="00C154DA"/>
    <w:rsid w:val="00C250C5"/>
    <w:rsid w:val="00C25DBD"/>
    <w:rsid w:val="00C31239"/>
    <w:rsid w:val="00C37A16"/>
    <w:rsid w:val="00C40912"/>
    <w:rsid w:val="00C65F00"/>
    <w:rsid w:val="00CA51D3"/>
    <w:rsid w:val="00CB54FB"/>
    <w:rsid w:val="00CB5D76"/>
    <w:rsid w:val="00CF185B"/>
    <w:rsid w:val="00D030F9"/>
    <w:rsid w:val="00D057D2"/>
    <w:rsid w:val="00D13BCA"/>
    <w:rsid w:val="00D16E1A"/>
    <w:rsid w:val="00D1744C"/>
    <w:rsid w:val="00D17D6F"/>
    <w:rsid w:val="00D2425D"/>
    <w:rsid w:val="00D24387"/>
    <w:rsid w:val="00D35DAA"/>
    <w:rsid w:val="00D3652C"/>
    <w:rsid w:val="00D42E33"/>
    <w:rsid w:val="00D7285E"/>
    <w:rsid w:val="00D83A25"/>
    <w:rsid w:val="00D83BA7"/>
    <w:rsid w:val="00DA27D7"/>
    <w:rsid w:val="00DD31BF"/>
    <w:rsid w:val="00DE20EA"/>
    <w:rsid w:val="00DE45AC"/>
    <w:rsid w:val="00DE49E6"/>
    <w:rsid w:val="00DF1E59"/>
    <w:rsid w:val="00DF28FE"/>
    <w:rsid w:val="00E34329"/>
    <w:rsid w:val="00E51EE7"/>
    <w:rsid w:val="00E57B30"/>
    <w:rsid w:val="00E702FD"/>
    <w:rsid w:val="00E822FA"/>
    <w:rsid w:val="00E93F7D"/>
    <w:rsid w:val="00E97EBD"/>
    <w:rsid w:val="00EB422B"/>
    <w:rsid w:val="00ED6121"/>
    <w:rsid w:val="00ED6B0D"/>
    <w:rsid w:val="00EF656E"/>
    <w:rsid w:val="00F21E0C"/>
    <w:rsid w:val="00F220AA"/>
    <w:rsid w:val="00F25AFC"/>
    <w:rsid w:val="00F37C84"/>
    <w:rsid w:val="00F47819"/>
    <w:rsid w:val="00F528F0"/>
    <w:rsid w:val="00F53379"/>
    <w:rsid w:val="00F53BE6"/>
    <w:rsid w:val="00F7489F"/>
    <w:rsid w:val="00F7697B"/>
    <w:rsid w:val="00FB6FEB"/>
    <w:rsid w:val="00FC01C6"/>
    <w:rsid w:val="00FC7069"/>
    <w:rsid w:val="00FE5253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E59EF"/>
    <w:pPr>
      <w:ind w:left="284"/>
      <w:jc w:val="center"/>
    </w:pPr>
    <w:rPr>
      <w:b/>
      <w:sz w:val="22"/>
      <w:szCs w:val="22"/>
    </w:rPr>
  </w:style>
  <w:style w:type="character" w:customStyle="1" w:styleId="platne1">
    <w:name w:val="platne1"/>
    <w:basedOn w:val="Standardnpsmoodstavce"/>
    <w:rsid w:val="003E59EF"/>
  </w:style>
  <w:style w:type="paragraph" w:styleId="Zkladntext">
    <w:name w:val="Body Text"/>
    <w:basedOn w:val="Normln"/>
    <w:link w:val="ZkladntextChar"/>
    <w:rsid w:val="003E59EF"/>
    <w:rPr>
      <w:sz w:val="24"/>
      <w:lang w:val="x-none" w:eastAsia="x-none"/>
    </w:rPr>
  </w:style>
  <w:style w:type="paragraph" w:styleId="Textbubliny">
    <w:name w:val="Balloon Text"/>
    <w:basedOn w:val="Normln"/>
    <w:semiHidden/>
    <w:rsid w:val="00D17D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C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4143"/>
  </w:style>
  <w:style w:type="paragraph" w:styleId="Zpat">
    <w:name w:val="footer"/>
    <w:basedOn w:val="Normln"/>
    <w:link w:val="ZpatChar"/>
    <w:rsid w:val="00BC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4143"/>
  </w:style>
  <w:style w:type="character" w:customStyle="1" w:styleId="ZkladntextChar">
    <w:name w:val="Základní text Char"/>
    <w:link w:val="Zkladntext"/>
    <w:rsid w:val="009A2CB0"/>
    <w:rPr>
      <w:sz w:val="24"/>
    </w:rPr>
  </w:style>
  <w:style w:type="character" w:styleId="Siln">
    <w:name w:val="Strong"/>
    <w:uiPriority w:val="22"/>
    <w:qFormat/>
    <w:rsid w:val="0012426F"/>
    <w:rPr>
      <w:b/>
      <w:bCs/>
    </w:rPr>
  </w:style>
  <w:style w:type="character" w:customStyle="1" w:styleId="poznamka1">
    <w:name w:val="poznamka1"/>
    <w:rsid w:val="005E69E0"/>
  </w:style>
  <w:style w:type="paragraph" w:customStyle="1" w:styleId="Default">
    <w:name w:val="Default"/>
    <w:rsid w:val="002019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2690"/>
    <w:pPr>
      <w:ind w:left="708"/>
    </w:pPr>
  </w:style>
  <w:style w:type="character" w:styleId="Odkaznakoment">
    <w:name w:val="annotation reference"/>
    <w:rsid w:val="008868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686C"/>
  </w:style>
  <w:style w:type="character" w:customStyle="1" w:styleId="TextkomenteChar">
    <w:name w:val="Text komentáře Char"/>
    <w:basedOn w:val="Standardnpsmoodstavce"/>
    <w:link w:val="Textkomente"/>
    <w:rsid w:val="0088686C"/>
  </w:style>
  <w:style w:type="paragraph" w:styleId="Pedmtkomente">
    <w:name w:val="annotation subject"/>
    <w:basedOn w:val="Textkomente"/>
    <w:next w:val="Textkomente"/>
    <w:link w:val="PedmtkomenteChar"/>
    <w:rsid w:val="0088686C"/>
    <w:rPr>
      <w:b/>
      <w:bCs/>
    </w:rPr>
  </w:style>
  <w:style w:type="character" w:customStyle="1" w:styleId="PedmtkomenteChar">
    <w:name w:val="Předmět komentáře Char"/>
    <w:link w:val="Pedmtkomente"/>
    <w:rsid w:val="0088686C"/>
    <w:rPr>
      <w:b/>
      <w:bCs/>
    </w:rPr>
  </w:style>
  <w:style w:type="paragraph" w:styleId="Revize">
    <w:name w:val="Revision"/>
    <w:hidden/>
    <w:uiPriority w:val="99"/>
    <w:semiHidden/>
    <w:rsid w:val="00886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E59EF"/>
    <w:pPr>
      <w:ind w:left="284"/>
      <w:jc w:val="center"/>
    </w:pPr>
    <w:rPr>
      <w:b/>
      <w:sz w:val="22"/>
      <w:szCs w:val="22"/>
    </w:rPr>
  </w:style>
  <w:style w:type="character" w:customStyle="1" w:styleId="platne1">
    <w:name w:val="platne1"/>
    <w:basedOn w:val="Standardnpsmoodstavce"/>
    <w:rsid w:val="003E59EF"/>
  </w:style>
  <w:style w:type="paragraph" w:styleId="Zkladntext">
    <w:name w:val="Body Text"/>
    <w:basedOn w:val="Normln"/>
    <w:link w:val="ZkladntextChar"/>
    <w:rsid w:val="003E59EF"/>
    <w:rPr>
      <w:sz w:val="24"/>
      <w:lang w:val="x-none" w:eastAsia="x-none"/>
    </w:rPr>
  </w:style>
  <w:style w:type="paragraph" w:styleId="Textbubliny">
    <w:name w:val="Balloon Text"/>
    <w:basedOn w:val="Normln"/>
    <w:semiHidden/>
    <w:rsid w:val="00D17D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C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4143"/>
  </w:style>
  <w:style w:type="paragraph" w:styleId="Zpat">
    <w:name w:val="footer"/>
    <w:basedOn w:val="Normln"/>
    <w:link w:val="ZpatChar"/>
    <w:rsid w:val="00BC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4143"/>
  </w:style>
  <w:style w:type="character" w:customStyle="1" w:styleId="ZkladntextChar">
    <w:name w:val="Základní text Char"/>
    <w:link w:val="Zkladntext"/>
    <w:rsid w:val="009A2CB0"/>
    <w:rPr>
      <w:sz w:val="24"/>
    </w:rPr>
  </w:style>
  <w:style w:type="character" w:styleId="Siln">
    <w:name w:val="Strong"/>
    <w:uiPriority w:val="22"/>
    <w:qFormat/>
    <w:rsid w:val="0012426F"/>
    <w:rPr>
      <w:b/>
      <w:bCs/>
    </w:rPr>
  </w:style>
  <w:style w:type="character" w:customStyle="1" w:styleId="poznamka1">
    <w:name w:val="poznamka1"/>
    <w:rsid w:val="005E69E0"/>
  </w:style>
  <w:style w:type="paragraph" w:customStyle="1" w:styleId="Default">
    <w:name w:val="Default"/>
    <w:rsid w:val="002019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2690"/>
    <w:pPr>
      <w:ind w:left="708"/>
    </w:pPr>
  </w:style>
  <w:style w:type="character" w:styleId="Odkaznakoment">
    <w:name w:val="annotation reference"/>
    <w:rsid w:val="008868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686C"/>
  </w:style>
  <w:style w:type="character" w:customStyle="1" w:styleId="TextkomenteChar">
    <w:name w:val="Text komentáře Char"/>
    <w:basedOn w:val="Standardnpsmoodstavce"/>
    <w:link w:val="Textkomente"/>
    <w:rsid w:val="0088686C"/>
  </w:style>
  <w:style w:type="paragraph" w:styleId="Pedmtkomente">
    <w:name w:val="annotation subject"/>
    <w:basedOn w:val="Textkomente"/>
    <w:next w:val="Textkomente"/>
    <w:link w:val="PedmtkomenteChar"/>
    <w:rsid w:val="0088686C"/>
    <w:rPr>
      <w:b/>
      <w:bCs/>
    </w:rPr>
  </w:style>
  <w:style w:type="character" w:customStyle="1" w:styleId="PedmtkomenteChar">
    <w:name w:val="Předmět komentáře Char"/>
    <w:link w:val="Pedmtkomente"/>
    <w:rsid w:val="0088686C"/>
    <w:rPr>
      <w:b/>
      <w:bCs/>
    </w:rPr>
  </w:style>
  <w:style w:type="paragraph" w:styleId="Revize">
    <w:name w:val="Revision"/>
    <w:hidden/>
    <w:uiPriority w:val="99"/>
    <w:semiHidden/>
    <w:rsid w:val="0088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7B19-9042-4525-A620-FB58EE0B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HP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bumbalik</dc:creator>
  <cp:lastModifiedBy>Odvárka Tomáš</cp:lastModifiedBy>
  <cp:revision>6</cp:revision>
  <cp:lastPrinted>2013-12-05T15:35:00Z</cp:lastPrinted>
  <dcterms:created xsi:type="dcterms:W3CDTF">2016-08-17T11:45:00Z</dcterms:created>
  <dcterms:modified xsi:type="dcterms:W3CDTF">2016-11-11T10:55:00Z</dcterms:modified>
</cp:coreProperties>
</file>