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BEE" w:rsidRDefault="00856BEE" w:rsidP="005C3588">
      <w:pPr>
        <w:jc w:val="center"/>
        <w:rPr>
          <w:b/>
          <w:sz w:val="28"/>
        </w:rPr>
      </w:pPr>
    </w:p>
    <w:p w:rsidR="00CD5196" w:rsidRPr="00342DCC" w:rsidRDefault="00C3279B" w:rsidP="00342DCC">
      <w:pPr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4A21A5">
        <w:rPr>
          <w:b/>
          <w:sz w:val="28"/>
        </w:rPr>
        <w:t>1</w:t>
      </w:r>
      <w:r>
        <w:rPr>
          <w:b/>
          <w:sz w:val="28"/>
        </w:rPr>
        <w:t xml:space="preserve"> ke Smlouvě</w:t>
      </w:r>
      <w:r w:rsidR="005C3588" w:rsidRPr="006872EB">
        <w:rPr>
          <w:b/>
          <w:sz w:val="28"/>
        </w:rPr>
        <w:t xml:space="preserve"> o dílo</w:t>
      </w:r>
      <w:r w:rsidR="00BB4A7B" w:rsidRPr="006872EB">
        <w:rPr>
          <w:b/>
          <w:sz w:val="28"/>
        </w:rPr>
        <w:t xml:space="preserve"> a </w:t>
      </w:r>
      <w:r w:rsidR="004F01FF">
        <w:rPr>
          <w:b/>
          <w:sz w:val="28"/>
        </w:rPr>
        <w:t>L</w:t>
      </w:r>
      <w:r w:rsidR="00BB4A7B" w:rsidRPr="006872EB">
        <w:rPr>
          <w:b/>
          <w:sz w:val="28"/>
        </w:rPr>
        <w:t>icen</w:t>
      </w:r>
      <w:r>
        <w:rPr>
          <w:b/>
          <w:sz w:val="28"/>
        </w:rPr>
        <w:t>ční smlouvě</w:t>
      </w:r>
      <w:r w:rsidR="00BB4A7B" w:rsidRPr="006872EB">
        <w:rPr>
          <w:b/>
          <w:sz w:val="28"/>
        </w:rPr>
        <w:t xml:space="preserve"> č.</w:t>
      </w:r>
      <w:r w:rsidR="000964D9">
        <w:rPr>
          <w:b/>
          <w:sz w:val="28"/>
        </w:rPr>
        <w:t xml:space="preserve"> </w:t>
      </w:r>
      <w:r w:rsidR="00C6133F">
        <w:rPr>
          <w:b/>
          <w:sz w:val="28"/>
        </w:rPr>
        <w:t>M</w:t>
      </w:r>
      <w:r w:rsidR="008702D9">
        <w:rPr>
          <w:b/>
          <w:sz w:val="28"/>
        </w:rPr>
        <w:t>S</w:t>
      </w:r>
      <w:r w:rsidR="00C6133F">
        <w:rPr>
          <w:b/>
          <w:sz w:val="28"/>
        </w:rPr>
        <w:t>S 201</w:t>
      </w:r>
      <w:r w:rsidR="004A21A5">
        <w:rPr>
          <w:b/>
          <w:sz w:val="28"/>
        </w:rPr>
        <w:t>401</w:t>
      </w:r>
      <w:r w:rsidR="000964D9" w:rsidRPr="000964D9">
        <w:rPr>
          <w:b/>
          <w:sz w:val="28"/>
        </w:rPr>
        <w:t>IT</w:t>
      </w:r>
      <w:r w:rsidR="00BB4A7B" w:rsidRPr="006872EB">
        <w:rPr>
          <w:b/>
          <w:sz w:val="28"/>
        </w:rPr>
        <w:t xml:space="preserve"> </w:t>
      </w:r>
    </w:p>
    <w:p w:rsidR="00856BEE" w:rsidRPr="00342DCC" w:rsidRDefault="005C3588" w:rsidP="00342DCC">
      <w:pPr>
        <w:ind w:firstLine="360"/>
        <w:rPr>
          <w:b/>
          <w:sz w:val="24"/>
          <w:szCs w:val="24"/>
        </w:rPr>
      </w:pPr>
      <w:r w:rsidRPr="00A56E30">
        <w:rPr>
          <w:b/>
          <w:sz w:val="24"/>
          <w:szCs w:val="24"/>
        </w:rPr>
        <w:t>Smluvní strany</w:t>
      </w:r>
    </w:p>
    <w:p w:rsidR="00C6133F" w:rsidRPr="00700FB2" w:rsidRDefault="004A21A5" w:rsidP="004A21A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A21A5">
        <w:rPr>
          <w:sz w:val="24"/>
          <w:szCs w:val="24"/>
        </w:rPr>
        <w:t>Úrazová nemocnice v Brně</w:t>
      </w:r>
      <w:r w:rsidR="00AE0FEC" w:rsidRPr="00A56E30">
        <w:rPr>
          <w:sz w:val="24"/>
          <w:szCs w:val="24"/>
        </w:rPr>
        <w:br/>
      </w:r>
      <w:proofErr w:type="spellStart"/>
      <w:r w:rsidRPr="004A21A5">
        <w:rPr>
          <w:sz w:val="24"/>
          <w:szCs w:val="24"/>
        </w:rPr>
        <w:t>Ponávka</w:t>
      </w:r>
      <w:proofErr w:type="spellEnd"/>
      <w:r w:rsidRPr="004A21A5">
        <w:rPr>
          <w:sz w:val="24"/>
          <w:szCs w:val="24"/>
        </w:rPr>
        <w:t xml:space="preserve"> 6</w:t>
      </w:r>
      <w:r>
        <w:rPr>
          <w:sz w:val="24"/>
          <w:szCs w:val="24"/>
        </w:rPr>
        <w:t xml:space="preserve">, </w:t>
      </w:r>
      <w:r w:rsidRPr="004A21A5">
        <w:rPr>
          <w:sz w:val="24"/>
          <w:szCs w:val="24"/>
        </w:rPr>
        <w:t>662 50 Brno</w:t>
      </w:r>
    </w:p>
    <w:p w:rsidR="00C6133F" w:rsidRPr="00700FB2" w:rsidRDefault="0018210B" w:rsidP="00C6133F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Pr="0018210B">
        <w:rPr>
          <w:sz w:val="24"/>
          <w:szCs w:val="24"/>
        </w:rPr>
        <w:t>00209813</w:t>
      </w:r>
    </w:p>
    <w:p w:rsidR="00C6133F" w:rsidRPr="00700FB2" w:rsidRDefault="00C6133F" w:rsidP="00C6133F">
      <w:pPr>
        <w:pStyle w:val="Odstavecseseznamem"/>
        <w:rPr>
          <w:sz w:val="24"/>
          <w:szCs w:val="24"/>
        </w:rPr>
      </w:pPr>
      <w:r w:rsidRPr="00700FB2">
        <w:rPr>
          <w:sz w:val="24"/>
          <w:szCs w:val="24"/>
        </w:rPr>
        <w:t xml:space="preserve">Osoba oprávněná k podpisu smlouvy: ing. </w:t>
      </w:r>
      <w:r w:rsidR="0018210B">
        <w:rPr>
          <w:sz w:val="24"/>
          <w:szCs w:val="24"/>
        </w:rPr>
        <w:t xml:space="preserve">Zdeněk </w:t>
      </w:r>
      <w:proofErr w:type="spellStart"/>
      <w:r w:rsidR="0018210B">
        <w:rPr>
          <w:sz w:val="24"/>
          <w:szCs w:val="24"/>
        </w:rPr>
        <w:t>Buštík</w:t>
      </w:r>
      <w:proofErr w:type="spellEnd"/>
      <w:r w:rsidRPr="00700FB2">
        <w:rPr>
          <w:sz w:val="24"/>
          <w:szCs w:val="24"/>
        </w:rPr>
        <w:t>,</w:t>
      </w:r>
      <w:r w:rsidR="002321C5">
        <w:rPr>
          <w:sz w:val="24"/>
          <w:szCs w:val="24"/>
        </w:rPr>
        <w:t xml:space="preserve"> MBA,</w:t>
      </w:r>
      <w:r w:rsidRPr="00700FB2">
        <w:rPr>
          <w:sz w:val="24"/>
          <w:szCs w:val="24"/>
        </w:rPr>
        <w:t xml:space="preserve"> ředitel</w:t>
      </w:r>
    </w:p>
    <w:p w:rsidR="00AE0FEC" w:rsidRPr="00C6133F" w:rsidRDefault="00C6133F" w:rsidP="00C6133F">
      <w:pPr>
        <w:pStyle w:val="Odstavecseseznamem"/>
        <w:rPr>
          <w:sz w:val="24"/>
          <w:szCs w:val="24"/>
        </w:rPr>
      </w:pPr>
      <w:r w:rsidRPr="00700FB2">
        <w:rPr>
          <w:sz w:val="24"/>
          <w:szCs w:val="24"/>
        </w:rPr>
        <w:t>(dále jen „uživatel“</w:t>
      </w:r>
      <w:r w:rsidR="00AE0FEC" w:rsidRPr="00C6133F">
        <w:rPr>
          <w:sz w:val="24"/>
          <w:szCs w:val="24"/>
        </w:rPr>
        <w:t>)</w:t>
      </w:r>
    </w:p>
    <w:p w:rsidR="003E5392" w:rsidRPr="00A56E30" w:rsidRDefault="00342DCC" w:rsidP="003E5392">
      <w:pPr>
        <w:pStyle w:val="Odstavecseseznamem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3E5392" w:rsidRPr="00A56E30" w:rsidRDefault="00C6781A" w:rsidP="003E53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56E30">
        <w:rPr>
          <w:sz w:val="24"/>
          <w:szCs w:val="24"/>
        </w:rPr>
        <w:t>SEFIMA</w:t>
      </w:r>
      <w:r w:rsidR="003E5392" w:rsidRPr="00A56E30">
        <w:rPr>
          <w:sz w:val="24"/>
          <w:szCs w:val="24"/>
        </w:rPr>
        <w:t xml:space="preserve"> s.r.o.</w:t>
      </w:r>
    </w:p>
    <w:p w:rsidR="00A56E30" w:rsidRPr="00A56E30" w:rsidRDefault="002E61A2" w:rsidP="003E539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Lesní 461/41</w:t>
      </w:r>
      <w:r>
        <w:rPr>
          <w:sz w:val="24"/>
          <w:szCs w:val="24"/>
        </w:rPr>
        <w:br/>
        <w:t>460 14</w:t>
      </w:r>
      <w:r w:rsidR="003E5392" w:rsidRPr="00A56E30">
        <w:rPr>
          <w:sz w:val="24"/>
          <w:szCs w:val="24"/>
        </w:rPr>
        <w:t xml:space="preserve"> Liberec</w:t>
      </w:r>
      <w:r w:rsidR="003E5392" w:rsidRPr="00A56E30">
        <w:rPr>
          <w:sz w:val="24"/>
          <w:szCs w:val="24"/>
        </w:rPr>
        <w:br/>
        <w:t>IČ: 25048821</w:t>
      </w:r>
    </w:p>
    <w:p w:rsidR="00CD5196" w:rsidRPr="00342DCC" w:rsidRDefault="00A56E30" w:rsidP="00342DCC">
      <w:pPr>
        <w:pStyle w:val="Odstavecseseznamem"/>
        <w:rPr>
          <w:sz w:val="24"/>
          <w:szCs w:val="24"/>
        </w:rPr>
      </w:pPr>
      <w:r w:rsidRPr="00A56E30">
        <w:rPr>
          <w:sz w:val="24"/>
          <w:szCs w:val="24"/>
        </w:rPr>
        <w:t>Osoba o</w:t>
      </w:r>
      <w:r w:rsidR="00594B1B">
        <w:rPr>
          <w:sz w:val="24"/>
          <w:szCs w:val="24"/>
        </w:rPr>
        <w:t xml:space="preserve">právněná k podpisu smlouvy: </w:t>
      </w:r>
      <w:r w:rsidRPr="00A56E30">
        <w:rPr>
          <w:sz w:val="24"/>
          <w:szCs w:val="24"/>
        </w:rPr>
        <w:t>Ivo Topinka, jednatel</w:t>
      </w:r>
      <w:r w:rsidRPr="00A56E30">
        <w:rPr>
          <w:sz w:val="24"/>
          <w:szCs w:val="24"/>
        </w:rPr>
        <w:br/>
      </w:r>
      <w:r w:rsidR="003E5392" w:rsidRPr="00A56E30">
        <w:rPr>
          <w:sz w:val="24"/>
          <w:szCs w:val="24"/>
        </w:rPr>
        <w:t xml:space="preserve">(dále jen </w:t>
      </w:r>
      <w:r w:rsidR="00A93B8E" w:rsidRPr="00A56E30">
        <w:rPr>
          <w:sz w:val="24"/>
          <w:szCs w:val="24"/>
        </w:rPr>
        <w:t>„</w:t>
      </w:r>
      <w:r w:rsidR="00332AC1" w:rsidRPr="00A56E30">
        <w:rPr>
          <w:sz w:val="24"/>
          <w:szCs w:val="24"/>
        </w:rPr>
        <w:t>poskytovatel</w:t>
      </w:r>
      <w:r w:rsidR="00A93B8E" w:rsidRPr="00A56E30">
        <w:rPr>
          <w:sz w:val="24"/>
          <w:szCs w:val="24"/>
        </w:rPr>
        <w:t>“</w:t>
      </w:r>
      <w:r w:rsidR="003E5392" w:rsidRPr="00A56E30">
        <w:rPr>
          <w:sz w:val="24"/>
          <w:szCs w:val="24"/>
        </w:rPr>
        <w:t>)</w:t>
      </w:r>
    </w:p>
    <w:p w:rsidR="003E5392" w:rsidRDefault="003E5392" w:rsidP="003E5392">
      <w:pPr>
        <w:pStyle w:val="Odstavecseseznamem"/>
        <w:rPr>
          <w:sz w:val="24"/>
          <w:szCs w:val="24"/>
        </w:rPr>
      </w:pPr>
    </w:p>
    <w:p w:rsidR="00F65CA2" w:rsidRPr="00A56E30" w:rsidRDefault="00F65CA2" w:rsidP="003E5392">
      <w:pPr>
        <w:pStyle w:val="Odstavecseseznamem"/>
        <w:rPr>
          <w:sz w:val="24"/>
          <w:szCs w:val="24"/>
        </w:rPr>
      </w:pPr>
    </w:p>
    <w:p w:rsidR="003E5392" w:rsidRDefault="003E5392" w:rsidP="00D76EDE">
      <w:pPr>
        <w:pStyle w:val="Odstavecseseznamem"/>
        <w:ind w:left="360"/>
        <w:jc w:val="center"/>
        <w:rPr>
          <w:b/>
          <w:sz w:val="24"/>
        </w:rPr>
      </w:pPr>
      <w:r w:rsidRPr="00346474">
        <w:rPr>
          <w:b/>
          <w:sz w:val="24"/>
        </w:rPr>
        <w:t xml:space="preserve">PŘEDMĚT </w:t>
      </w:r>
      <w:r w:rsidR="00C3279B">
        <w:rPr>
          <w:b/>
          <w:sz w:val="24"/>
        </w:rPr>
        <w:t>DODATKU</w:t>
      </w:r>
    </w:p>
    <w:p w:rsidR="006872EB" w:rsidRPr="00346474" w:rsidRDefault="006872EB" w:rsidP="006872EB">
      <w:pPr>
        <w:pStyle w:val="Odstavecseseznamem"/>
        <w:ind w:left="1440"/>
        <w:rPr>
          <w:b/>
          <w:sz w:val="24"/>
        </w:rPr>
      </w:pPr>
    </w:p>
    <w:p w:rsidR="00F65CA2" w:rsidRDefault="00F65CA2" w:rsidP="00EB17C1">
      <w:pPr>
        <w:pStyle w:val="Odstavecseseznamem"/>
        <w:tabs>
          <w:tab w:val="left" w:pos="9052"/>
        </w:tabs>
        <w:ind w:left="360"/>
        <w:rPr>
          <w:iCs/>
          <w:sz w:val="24"/>
          <w:szCs w:val="24"/>
        </w:rPr>
      </w:pPr>
    </w:p>
    <w:p w:rsidR="00C3279B" w:rsidRDefault="00C3279B" w:rsidP="00EB17C1">
      <w:pPr>
        <w:pStyle w:val="Odstavecseseznamem"/>
        <w:tabs>
          <w:tab w:val="left" w:pos="9052"/>
        </w:tabs>
        <w:ind w:left="360"/>
        <w:rPr>
          <w:iCs/>
          <w:sz w:val="24"/>
          <w:szCs w:val="24"/>
        </w:rPr>
      </w:pPr>
      <w:r w:rsidRPr="00C3279B">
        <w:rPr>
          <w:iCs/>
          <w:sz w:val="24"/>
          <w:szCs w:val="24"/>
        </w:rPr>
        <w:t xml:space="preserve">Smluvní strany se dohodly </w:t>
      </w:r>
      <w:r w:rsidR="0021352F" w:rsidRPr="00C3279B">
        <w:rPr>
          <w:iCs/>
          <w:sz w:val="24"/>
          <w:szCs w:val="24"/>
        </w:rPr>
        <w:t xml:space="preserve">na změně bodů </w:t>
      </w:r>
      <w:r w:rsidR="00C21FB0">
        <w:rPr>
          <w:iCs/>
          <w:sz w:val="24"/>
          <w:szCs w:val="24"/>
        </w:rPr>
        <w:t xml:space="preserve">1.1, </w:t>
      </w:r>
      <w:r w:rsidR="0021352F">
        <w:rPr>
          <w:iCs/>
          <w:sz w:val="24"/>
          <w:szCs w:val="24"/>
        </w:rPr>
        <w:t>1.3 a 2.3</w:t>
      </w:r>
      <w:r w:rsidR="0021352F" w:rsidRPr="005C1F16">
        <w:rPr>
          <w:iCs/>
          <w:sz w:val="24"/>
          <w:szCs w:val="24"/>
        </w:rPr>
        <w:t xml:space="preserve"> smlouvy</w:t>
      </w:r>
      <w:r w:rsidR="0021352F" w:rsidRPr="00C3279B">
        <w:rPr>
          <w:iCs/>
          <w:sz w:val="24"/>
          <w:szCs w:val="24"/>
        </w:rPr>
        <w:t xml:space="preserve"> následujícím způsobem</w:t>
      </w:r>
      <w:r w:rsidRPr="00C3279B">
        <w:rPr>
          <w:iCs/>
          <w:sz w:val="24"/>
          <w:szCs w:val="24"/>
        </w:rPr>
        <w:t>:</w:t>
      </w:r>
    </w:p>
    <w:p w:rsidR="0021352F" w:rsidRDefault="0021352F" w:rsidP="00EB17C1">
      <w:pPr>
        <w:pStyle w:val="Odstavecseseznamem"/>
        <w:tabs>
          <w:tab w:val="left" w:pos="9052"/>
        </w:tabs>
        <w:ind w:left="360"/>
        <w:rPr>
          <w:iCs/>
          <w:sz w:val="24"/>
          <w:szCs w:val="24"/>
        </w:rPr>
      </w:pPr>
    </w:p>
    <w:p w:rsidR="00C21FB0" w:rsidRPr="00C21FB0" w:rsidRDefault="00C21FB0" w:rsidP="00C21FB0">
      <w:pPr>
        <w:ind w:left="360"/>
        <w:rPr>
          <w:sz w:val="24"/>
        </w:rPr>
      </w:pPr>
      <w:r>
        <w:rPr>
          <w:b/>
          <w:sz w:val="24"/>
        </w:rPr>
        <w:t>Bod 1.1</w:t>
      </w:r>
      <w:r w:rsidRPr="0021352F">
        <w:rPr>
          <w:b/>
          <w:sz w:val="24"/>
        </w:rPr>
        <w:t xml:space="preserve"> </w:t>
      </w:r>
      <w:r w:rsidRPr="00C21FB0">
        <w:rPr>
          <w:b/>
          <w:sz w:val="24"/>
        </w:rPr>
        <w:t xml:space="preserve">Přístup k software MSS </w:t>
      </w:r>
      <w:proofErr w:type="spellStart"/>
      <w:r w:rsidRPr="00C21FB0">
        <w:rPr>
          <w:b/>
          <w:sz w:val="24"/>
        </w:rPr>
        <w:t>MediXen</w:t>
      </w:r>
      <w:proofErr w:type="spellEnd"/>
      <w:r w:rsidRPr="00C21FB0">
        <w:rPr>
          <w:sz w:val="24"/>
        </w:rPr>
        <w:t xml:space="preserve"> (dále jen „software“):</w:t>
      </w:r>
    </w:p>
    <w:p w:rsidR="00C21FB0" w:rsidRPr="0045305B" w:rsidRDefault="00C21FB0" w:rsidP="00C21FB0">
      <w:pPr>
        <w:pStyle w:val="Odstavecseseznamem"/>
        <w:numPr>
          <w:ilvl w:val="0"/>
          <w:numId w:val="10"/>
        </w:numPr>
        <w:rPr>
          <w:sz w:val="24"/>
        </w:rPr>
      </w:pPr>
      <w:r>
        <w:rPr>
          <w:sz w:val="24"/>
        </w:rPr>
        <w:t>pro 15 pojmenovaných klientských přístupů;</w:t>
      </w:r>
      <w:r>
        <w:rPr>
          <w:sz w:val="24"/>
        </w:rPr>
        <w:tab/>
      </w:r>
    </w:p>
    <w:p w:rsidR="00C21FB0" w:rsidRPr="00C21FB0" w:rsidRDefault="00C21FB0" w:rsidP="00C21FB0">
      <w:pPr>
        <w:pStyle w:val="Odstavecseseznamem"/>
        <w:numPr>
          <w:ilvl w:val="0"/>
          <w:numId w:val="10"/>
        </w:numPr>
        <w:rPr>
          <w:iCs/>
          <w:sz w:val="24"/>
          <w:szCs w:val="24"/>
        </w:rPr>
      </w:pPr>
      <w:r w:rsidRPr="000E3073">
        <w:rPr>
          <w:sz w:val="24"/>
        </w:rPr>
        <w:t>v rozsahu modulů</w:t>
      </w:r>
      <w:r>
        <w:rPr>
          <w:sz w:val="24"/>
        </w:rPr>
        <w:t>,</w:t>
      </w:r>
      <w:r w:rsidRPr="000E3073">
        <w:rPr>
          <w:sz w:val="24"/>
        </w:rPr>
        <w:t xml:space="preserve"> s funkcionalito</w:t>
      </w:r>
      <w:r>
        <w:rPr>
          <w:sz w:val="24"/>
        </w:rPr>
        <w:t>u a vlastnostmi dle Přílohy č. 1;</w:t>
      </w:r>
    </w:p>
    <w:p w:rsidR="00C21FB0" w:rsidRDefault="00C21FB0" w:rsidP="00C21FB0">
      <w:pPr>
        <w:pStyle w:val="Odstavecseseznamem"/>
        <w:numPr>
          <w:ilvl w:val="0"/>
          <w:numId w:val="10"/>
        </w:numPr>
        <w:rPr>
          <w:iCs/>
          <w:sz w:val="24"/>
          <w:szCs w:val="24"/>
        </w:rPr>
      </w:pPr>
      <w:r>
        <w:rPr>
          <w:sz w:val="24"/>
        </w:rPr>
        <w:t>přístup k </w:t>
      </w:r>
      <w:proofErr w:type="spellStart"/>
      <w:r>
        <w:rPr>
          <w:sz w:val="24"/>
        </w:rPr>
        <w:t>MediX</w:t>
      </w:r>
      <w:proofErr w:type="spellEnd"/>
      <w:r>
        <w:rPr>
          <w:sz w:val="24"/>
        </w:rPr>
        <w:t xml:space="preserve"> DRG (DRG Mixér).</w:t>
      </w:r>
      <w:r w:rsidRPr="000E3073">
        <w:rPr>
          <w:sz w:val="24"/>
        </w:rPr>
        <w:br/>
      </w:r>
    </w:p>
    <w:p w:rsidR="0021352F" w:rsidRPr="0021352F" w:rsidRDefault="0021352F" w:rsidP="0021352F">
      <w:pPr>
        <w:ind w:left="360"/>
        <w:rPr>
          <w:b/>
          <w:sz w:val="24"/>
        </w:rPr>
      </w:pPr>
      <w:r>
        <w:rPr>
          <w:b/>
          <w:sz w:val="24"/>
        </w:rPr>
        <w:t>Bod 1.3</w:t>
      </w:r>
      <w:r w:rsidR="00C3279B" w:rsidRPr="0021352F">
        <w:rPr>
          <w:b/>
          <w:sz w:val="24"/>
        </w:rPr>
        <w:t xml:space="preserve"> </w:t>
      </w:r>
      <w:r w:rsidRPr="0021352F">
        <w:rPr>
          <w:b/>
          <w:sz w:val="24"/>
        </w:rPr>
        <w:t>Služby spojené s provozem a užíváním software</w:t>
      </w:r>
      <w:r w:rsidR="000070B0">
        <w:rPr>
          <w:b/>
          <w:sz w:val="24"/>
        </w:rPr>
        <w:t xml:space="preserve"> – nové znění</w:t>
      </w:r>
    </w:p>
    <w:p w:rsidR="0018210B" w:rsidRDefault="0018210B" w:rsidP="0018210B">
      <w:pPr>
        <w:pStyle w:val="Odstavecseseznamem1"/>
        <w:numPr>
          <w:ilvl w:val="0"/>
          <w:numId w:val="3"/>
        </w:numPr>
        <w:rPr>
          <w:sz w:val="24"/>
        </w:rPr>
      </w:pPr>
      <w:r>
        <w:rPr>
          <w:sz w:val="24"/>
        </w:rPr>
        <w:t>Provoz software na zabezpečeném serveru se vzdáleným přístupem;</w:t>
      </w:r>
    </w:p>
    <w:p w:rsidR="0018210B" w:rsidRDefault="0018210B" w:rsidP="0018210B">
      <w:pPr>
        <w:pStyle w:val="Odstavecseseznamem1"/>
        <w:numPr>
          <w:ilvl w:val="0"/>
          <w:numId w:val="3"/>
        </w:numPr>
        <w:rPr>
          <w:sz w:val="24"/>
        </w:rPr>
      </w:pPr>
      <w:r>
        <w:rPr>
          <w:sz w:val="24"/>
        </w:rPr>
        <w:t>Garance dostupnosti software 24 hodin denně s výjimkou doby na avizovanou odstávku software;</w:t>
      </w:r>
    </w:p>
    <w:p w:rsidR="0018210B" w:rsidRDefault="0018210B" w:rsidP="0018210B">
      <w:pPr>
        <w:pStyle w:val="Odstavecseseznamem1"/>
        <w:numPr>
          <w:ilvl w:val="0"/>
          <w:numId w:val="3"/>
        </w:numPr>
        <w:rPr>
          <w:sz w:val="24"/>
        </w:rPr>
      </w:pPr>
      <w:r>
        <w:rPr>
          <w:sz w:val="24"/>
        </w:rPr>
        <w:t>Kontrola a zavádění konzistentních dat do software do 2 pracovních dnů od jejich dodání uživatelem;</w:t>
      </w:r>
    </w:p>
    <w:p w:rsidR="0018210B" w:rsidRDefault="0018210B" w:rsidP="0018210B">
      <w:pPr>
        <w:pStyle w:val="Odstavecseseznamem1"/>
        <w:numPr>
          <w:ilvl w:val="0"/>
          <w:numId w:val="3"/>
        </w:numPr>
        <w:rPr>
          <w:sz w:val="24"/>
        </w:rPr>
      </w:pPr>
      <w:r>
        <w:rPr>
          <w:sz w:val="24"/>
        </w:rPr>
        <w:t>Zpracování opravných dávek, revizních zpráv a validačních protokolů;</w:t>
      </w:r>
    </w:p>
    <w:p w:rsidR="0018210B" w:rsidRDefault="0018210B" w:rsidP="0018210B">
      <w:pPr>
        <w:pStyle w:val="Odstavecseseznamem1"/>
        <w:numPr>
          <w:ilvl w:val="0"/>
          <w:numId w:val="3"/>
        </w:numPr>
        <w:rPr>
          <w:sz w:val="24"/>
        </w:rPr>
      </w:pPr>
      <w:r>
        <w:rPr>
          <w:sz w:val="24"/>
        </w:rPr>
        <w:t>Aktualizace software na nové verze;</w:t>
      </w:r>
    </w:p>
    <w:p w:rsidR="0018210B" w:rsidRDefault="0018210B" w:rsidP="0018210B">
      <w:pPr>
        <w:pStyle w:val="Odstavecseseznamem1"/>
        <w:numPr>
          <w:ilvl w:val="0"/>
          <w:numId w:val="3"/>
        </w:numPr>
        <w:rPr>
          <w:sz w:val="24"/>
        </w:rPr>
      </w:pPr>
      <w:r>
        <w:rPr>
          <w:sz w:val="24"/>
        </w:rPr>
        <w:t>Přizpůsobení software požadavkům nové legislativy;</w:t>
      </w:r>
    </w:p>
    <w:p w:rsidR="0018210B" w:rsidRDefault="0018210B" w:rsidP="0018210B">
      <w:pPr>
        <w:pStyle w:val="Odstavecseseznamem1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Konzultace ohledně nastavování, používání, logiky a úpravy software dle požadavků objednatele v max. rozsahu do 4 hodin měsíčně;</w:t>
      </w:r>
    </w:p>
    <w:p w:rsidR="004B380E" w:rsidRDefault="0018210B" w:rsidP="004B380E">
      <w:pPr>
        <w:pStyle w:val="Odstavecseseznamem1"/>
        <w:numPr>
          <w:ilvl w:val="0"/>
          <w:numId w:val="3"/>
        </w:numPr>
        <w:rPr>
          <w:sz w:val="24"/>
        </w:rPr>
      </w:pPr>
      <w:proofErr w:type="spellStart"/>
      <w:r w:rsidRPr="004B380E">
        <w:rPr>
          <w:sz w:val="24"/>
        </w:rPr>
        <w:t>Helpdesk</w:t>
      </w:r>
      <w:proofErr w:type="spellEnd"/>
      <w:r w:rsidRPr="004B380E">
        <w:rPr>
          <w:sz w:val="24"/>
        </w:rPr>
        <w:t xml:space="preserve"> pro řešení technických problémů s reakční dobou do dvou pracovních dnů od nahlášení problému;</w:t>
      </w:r>
    </w:p>
    <w:p w:rsidR="004B380E" w:rsidRPr="004B380E" w:rsidRDefault="004B380E" w:rsidP="00D0377B">
      <w:pPr>
        <w:pStyle w:val="Odstavecseseznamem1"/>
        <w:numPr>
          <w:ilvl w:val="0"/>
          <w:numId w:val="3"/>
        </w:numPr>
        <w:rPr>
          <w:sz w:val="24"/>
        </w:rPr>
      </w:pPr>
      <w:r w:rsidRPr="004B380E">
        <w:rPr>
          <w:sz w:val="24"/>
        </w:rPr>
        <w:t xml:space="preserve">Zpracování a načtení dat do </w:t>
      </w:r>
      <w:proofErr w:type="spellStart"/>
      <w:r w:rsidRPr="004B380E">
        <w:rPr>
          <w:sz w:val="24"/>
        </w:rPr>
        <w:t>MediX_DRG</w:t>
      </w:r>
      <w:proofErr w:type="spellEnd"/>
      <w:r w:rsidR="00C21FB0">
        <w:rPr>
          <w:sz w:val="24"/>
        </w:rPr>
        <w:t>.</w:t>
      </w:r>
    </w:p>
    <w:p w:rsidR="00D0377B" w:rsidRPr="0018210B" w:rsidRDefault="00DE7322" w:rsidP="00D0377B">
      <w:pPr>
        <w:pStyle w:val="Odstavecseseznamem1"/>
        <w:numPr>
          <w:ilvl w:val="0"/>
          <w:numId w:val="3"/>
        </w:numPr>
        <w:rPr>
          <w:sz w:val="24"/>
        </w:rPr>
      </w:pPr>
      <w:r w:rsidRPr="0018210B">
        <w:rPr>
          <w:sz w:val="24"/>
        </w:rPr>
        <w:lastRenderedPageBreak/>
        <w:t xml:space="preserve">Klinický </w:t>
      </w:r>
      <w:proofErr w:type="spellStart"/>
      <w:r w:rsidRPr="0018210B">
        <w:rPr>
          <w:sz w:val="24"/>
        </w:rPr>
        <w:t>benchmark</w:t>
      </w:r>
      <w:proofErr w:type="spellEnd"/>
      <w:r w:rsidRPr="0018210B">
        <w:rPr>
          <w:sz w:val="24"/>
        </w:rPr>
        <w:t xml:space="preserve"> s</w:t>
      </w:r>
      <w:r w:rsidR="00CD39BD" w:rsidRPr="0018210B">
        <w:rPr>
          <w:sz w:val="24"/>
        </w:rPr>
        <w:t xml:space="preserve"> expertní </w:t>
      </w:r>
      <w:r w:rsidRPr="0018210B">
        <w:rPr>
          <w:sz w:val="24"/>
        </w:rPr>
        <w:t>podporou DRG kódování a vykazování:</w:t>
      </w:r>
    </w:p>
    <w:p w:rsidR="00D0377B" w:rsidRPr="00D0377B" w:rsidRDefault="00D0377B" w:rsidP="00D0377B">
      <w:pPr>
        <w:pStyle w:val="Odstavecseseznamem"/>
        <w:numPr>
          <w:ilvl w:val="0"/>
          <w:numId w:val="6"/>
        </w:numPr>
        <w:rPr>
          <w:sz w:val="24"/>
        </w:rPr>
      </w:pPr>
      <w:r w:rsidRPr="00D0377B">
        <w:rPr>
          <w:sz w:val="24"/>
          <w:szCs w:val="24"/>
        </w:rPr>
        <w:t>přístup do</w:t>
      </w:r>
      <w:r w:rsidR="0018210B">
        <w:rPr>
          <w:sz w:val="24"/>
          <w:szCs w:val="24"/>
        </w:rPr>
        <w:t xml:space="preserve"> modulu Klinický </w:t>
      </w:r>
      <w:proofErr w:type="spellStart"/>
      <w:r w:rsidR="0018210B">
        <w:rPr>
          <w:sz w:val="24"/>
          <w:szCs w:val="24"/>
        </w:rPr>
        <w:t>benchmark</w:t>
      </w:r>
      <w:proofErr w:type="spellEnd"/>
      <w:r w:rsidR="0018210B">
        <w:rPr>
          <w:sz w:val="24"/>
          <w:szCs w:val="24"/>
        </w:rPr>
        <w:t xml:space="preserve"> pro 3 jmenovité uživatele</w:t>
      </w:r>
      <w:r w:rsidRPr="00D0377B">
        <w:rPr>
          <w:sz w:val="24"/>
          <w:szCs w:val="24"/>
        </w:rPr>
        <w:t>;</w:t>
      </w:r>
    </w:p>
    <w:p w:rsidR="00D0377B" w:rsidRPr="003005B2" w:rsidRDefault="00D0377B" w:rsidP="00D0377B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3005B2">
        <w:rPr>
          <w:sz w:val="24"/>
          <w:szCs w:val="24"/>
        </w:rPr>
        <w:t xml:space="preserve">přístup do DRG </w:t>
      </w:r>
      <w:proofErr w:type="spellStart"/>
      <w:r w:rsidRPr="003005B2">
        <w:rPr>
          <w:sz w:val="24"/>
          <w:szCs w:val="24"/>
        </w:rPr>
        <w:t>helpdesku</w:t>
      </w:r>
      <w:proofErr w:type="spellEnd"/>
      <w:r w:rsidRPr="003005B2">
        <w:rPr>
          <w:sz w:val="24"/>
          <w:szCs w:val="24"/>
        </w:rPr>
        <w:t xml:space="preserve"> (odpovědi experta na cílené dotazy);</w:t>
      </w:r>
    </w:p>
    <w:p w:rsidR="00D0377B" w:rsidRPr="00AF2736" w:rsidRDefault="00D0377B" w:rsidP="00D0377B">
      <w:pPr>
        <w:pStyle w:val="Odstavecseseznamem"/>
        <w:numPr>
          <w:ilvl w:val="0"/>
          <w:numId w:val="6"/>
        </w:numPr>
        <w:rPr>
          <w:b/>
          <w:sz w:val="24"/>
        </w:rPr>
      </w:pPr>
      <w:r w:rsidRPr="003005B2">
        <w:rPr>
          <w:sz w:val="24"/>
          <w:szCs w:val="24"/>
        </w:rPr>
        <w:t xml:space="preserve">zahrnuje </w:t>
      </w:r>
      <w:r w:rsidR="00C427EC">
        <w:rPr>
          <w:sz w:val="24"/>
          <w:szCs w:val="24"/>
        </w:rPr>
        <w:t xml:space="preserve">2 </w:t>
      </w:r>
      <w:r w:rsidRPr="003005B2">
        <w:rPr>
          <w:sz w:val="24"/>
          <w:szCs w:val="24"/>
        </w:rPr>
        <w:t>hodin</w:t>
      </w:r>
      <w:r w:rsidR="00C427EC">
        <w:rPr>
          <w:sz w:val="24"/>
          <w:szCs w:val="24"/>
        </w:rPr>
        <w:t>y</w:t>
      </w:r>
      <w:r w:rsidRPr="003005B2">
        <w:rPr>
          <w:sz w:val="24"/>
          <w:szCs w:val="24"/>
        </w:rPr>
        <w:t xml:space="preserve"> konzultací DRG experta </w:t>
      </w:r>
      <w:r w:rsidR="00C427EC">
        <w:rPr>
          <w:sz w:val="24"/>
          <w:szCs w:val="24"/>
        </w:rPr>
        <w:t>ro</w:t>
      </w:r>
      <w:r w:rsidRPr="003005B2">
        <w:rPr>
          <w:sz w:val="24"/>
          <w:szCs w:val="24"/>
        </w:rPr>
        <w:t>čně</w:t>
      </w:r>
      <w:r>
        <w:rPr>
          <w:sz w:val="24"/>
          <w:szCs w:val="24"/>
        </w:rPr>
        <w:t>,</w:t>
      </w:r>
      <w:r w:rsidRPr="003005B2">
        <w:rPr>
          <w:sz w:val="24"/>
          <w:szCs w:val="24"/>
        </w:rPr>
        <w:t xml:space="preserve"> konzultace jsou účtovány za každou započatou čtvrthodinu</w:t>
      </w:r>
    </w:p>
    <w:p w:rsidR="0021352F" w:rsidRDefault="0021352F" w:rsidP="00DE7322">
      <w:pPr>
        <w:pStyle w:val="Odstavecseseznamem"/>
        <w:ind w:left="1080"/>
        <w:rPr>
          <w:b/>
          <w:sz w:val="24"/>
        </w:rPr>
      </w:pPr>
    </w:p>
    <w:p w:rsidR="00C96D64" w:rsidRDefault="00C96D64" w:rsidP="00C96D64">
      <w:pPr>
        <w:ind w:left="360"/>
        <w:rPr>
          <w:b/>
          <w:sz w:val="24"/>
        </w:rPr>
      </w:pPr>
      <w:r>
        <w:rPr>
          <w:b/>
          <w:sz w:val="24"/>
        </w:rPr>
        <w:t>Bod 2.3</w:t>
      </w:r>
      <w:r w:rsidRPr="0021352F">
        <w:rPr>
          <w:b/>
          <w:sz w:val="24"/>
        </w:rPr>
        <w:t xml:space="preserve"> </w:t>
      </w:r>
      <w:r>
        <w:rPr>
          <w:b/>
          <w:sz w:val="24"/>
        </w:rPr>
        <w:t>Cena za poskytnutí licencí a zákaznickou podporu – nové znění</w:t>
      </w:r>
    </w:p>
    <w:p w:rsidR="00C96D64" w:rsidRDefault="00C96D64" w:rsidP="00C96D64">
      <w:pPr>
        <w:pStyle w:val="Odstavecseseznamem1"/>
        <w:numPr>
          <w:ilvl w:val="0"/>
          <w:numId w:val="4"/>
        </w:numPr>
        <w:rPr>
          <w:sz w:val="24"/>
        </w:rPr>
      </w:pPr>
      <w:r>
        <w:rPr>
          <w:sz w:val="24"/>
        </w:rPr>
        <w:t>Měsíční poplatek za užívání software: 14.000,- Kč bez DPH</w:t>
      </w:r>
    </w:p>
    <w:p w:rsidR="00C96D64" w:rsidRDefault="00C96D64" w:rsidP="00C96D64">
      <w:pPr>
        <w:pStyle w:val="Odstavecseseznamem1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Zákaznická podpora: </w:t>
      </w:r>
      <w:r w:rsidR="00DD5B44">
        <w:rPr>
          <w:sz w:val="24"/>
        </w:rPr>
        <w:t>8.90</w:t>
      </w:r>
      <w:r>
        <w:rPr>
          <w:sz w:val="24"/>
        </w:rPr>
        <w:t>0,- Kč bez DPH měsíčně</w:t>
      </w:r>
    </w:p>
    <w:p w:rsidR="00DB2294" w:rsidRPr="00C96D64" w:rsidRDefault="00DD5B44" w:rsidP="00C96D64">
      <w:pPr>
        <w:pStyle w:val="Odstavecseseznamem1"/>
        <w:numPr>
          <w:ilvl w:val="0"/>
          <w:numId w:val="4"/>
        </w:numPr>
        <w:rPr>
          <w:sz w:val="24"/>
        </w:rPr>
      </w:pPr>
      <w:r>
        <w:rPr>
          <w:sz w:val="24"/>
        </w:rPr>
        <w:t>Měsíční poplatky celkem: 22</w:t>
      </w:r>
      <w:r w:rsidR="00C96D64">
        <w:rPr>
          <w:sz w:val="24"/>
        </w:rPr>
        <w:t>.</w:t>
      </w:r>
      <w:r>
        <w:rPr>
          <w:sz w:val="24"/>
        </w:rPr>
        <w:t>90</w:t>
      </w:r>
      <w:r w:rsidR="00C96D64">
        <w:rPr>
          <w:sz w:val="24"/>
        </w:rPr>
        <w:t>0,- Kč bez DPH</w:t>
      </w:r>
      <w:r w:rsidR="00DB2294" w:rsidRPr="00C96D64">
        <w:rPr>
          <w:sz w:val="24"/>
        </w:rPr>
        <w:t xml:space="preserve"> </w:t>
      </w:r>
    </w:p>
    <w:p w:rsidR="000C5115" w:rsidRDefault="000C5115" w:rsidP="000C5115">
      <w:pPr>
        <w:pStyle w:val="Odstavecseseznamem"/>
        <w:ind w:left="1069"/>
        <w:rPr>
          <w:b/>
          <w:sz w:val="24"/>
        </w:rPr>
      </w:pPr>
    </w:p>
    <w:p w:rsidR="008702D9" w:rsidRPr="008702D9" w:rsidRDefault="008702D9" w:rsidP="008702D9">
      <w:pPr>
        <w:pStyle w:val="Odstavecseseznamem"/>
        <w:tabs>
          <w:tab w:val="left" w:pos="9052"/>
        </w:tabs>
        <w:ind w:left="360"/>
        <w:rPr>
          <w:iCs/>
          <w:sz w:val="24"/>
          <w:szCs w:val="24"/>
        </w:rPr>
      </w:pPr>
      <w:r w:rsidRPr="008702D9">
        <w:rPr>
          <w:iCs/>
          <w:sz w:val="24"/>
          <w:szCs w:val="24"/>
        </w:rPr>
        <w:t xml:space="preserve">Smluvní strany se </w:t>
      </w:r>
      <w:r>
        <w:rPr>
          <w:iCs/>
          <w:sz w:val="24"/>
          <w:szCs w:val="24"/>
        </w:rPr>
        <w:t>dále</w:t>
      </w:r>
      <w:r w:rsidR="00DD5B44">
        <w:rPr>
          <w:iCs/>
          <w:sz w:val="24"/>
          <w:szCs w:val="24"/>
        </w:rPr>
        <w:t xml:space="preserve"> dohodly na vložení nov</w:t>
      </w:r>
      <w:r w:rsidR="00C21FB0">
        <w:rPr>
          <w:iCs/>
          <w:sz w:val="24"/>
          <w:szCs w:val="24"/>
        </w:rPr>
        <w:t>ého bodu</w:t>
      </w:r>
      <w:r w:rsidRPr="008702D9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1.5</w:t>
      </w:r>
      <w:r w:rsidR="00DD5B44">
        <w:rPr>
          <w:iCs/>
          <w:sz w:val="24"/>
          <w:szCs w:val="24"/>
        </w:rPr>
        <w:t xml:space="preserve"> </w:t>
      </w:r>
      <w:r w:rsidRPr="008702D9">
        <w:rPr>
          <w:iCs/>
          <w:sz w:val="24"/>
          <w:szCs w:val="24"/>
        </w:rPr>
        <w:t>do smlouvy</w:t>
      </w:r>
      <w:r>
        <w:rPr>
          <w:iCs/>
          <w:sz w:val="24"/>
          <w:szCs w:val="24"/>
        </w:rPr>
        <w:t xml:space="preserve"> v následujícím znění:</w:t>
      </w:r>
    </w:p>
    <w:p w:rsidR="008702D9" w:rsidRPr="008702D9" w:rsidRDefault="00DD5B44" w:rsidP="008702D9">
      <w:pPr>
        <w:ind w:left="360"/>
        <w:rPr>
          <w:b/>
          <w:sz w:val="24"/>
        </w:rPr>
      </w:pPr>
      <w:r>
        <w:rPr>
          <w:b/>
          <w:sz w:val="24"/>
        </w:rPr>
        <w:t>B</w:t>
      </w:r>
      <w:r w:rsidR="00C21FB0">
        <w:rPr>
          <w:b/>
          <w:sz w:val="24"/>
        </w:rPr>
        <w:t>od 1.5</w:t>
      </w:r>
      <w:r w:rsidR="008702D9" w:rsidRPr="008702D9">
        <w:rPr>
          <w:b/>
          <w:sz w:val="24"/>
        </w:rPr>
        <w:t xml:space="preserve"> Služby Klinického </w:t>
      </w:r>
      <w:proofErr w:type="spellStart"/>
      <w:r w:rsidR="008702D9" w:rsidRPr="008702D9">
        <w:rPr>
          <w:b/>
          <w:sz w:val="24"/>
        </w:rPr>
        <w:t>benchmarku</w:t>
      </w:r>
      <w:proofErr w:type="spellEnd"/>
    </w:p>
    <w:p w:rsidR="008702D9" w:rsidRDefault="008702D9" w:rsidP="008702D9">
      <w:pPr>
        <w:pStyle w:val="Odstavecseseznamem"/>
        <w:numPr>
          <w:ilvl w:val="0"/>
          <w:numId w:val="2"/>
        </w:numPr>
        <w:ind w:left="1134"/>
        <w:jc w:val="both"/>
        <w:rPr>
          <w:iCs/>
          <w:sz w:val="24"/>
          <w:szCs w:val="24"/>
        </w:rPr>
      </w:pPr>
      <w:r w:rsidRPr="003005B2">
        <w:rPr>
          <w:iCs/>
          <w:sz w:val="24"/>
          <w:szCs w:val="24"/>
        </w:rPr>
        <w:t xml:space="preserve">Službou Klinického </w:t>
      </w:r>
      <w:proofErr w:type="spellStart"/>
      <w:r w:rsidRPr="003005B2">
        <w:rPr>
          <w:iCs/>
          <w:sz w:val="24"/>
          <w:szCs w:val="24"/>
        </w:rPr>
        <w:t>benchmarku</w:t>
      </w:r>
      <w:proofErr w:type="spellEnd"/>
      <w:r w:rsidRPr="003005B2">
        <w:rPr>
          <w:iCs/>
          <w:sz w:val="24"/>
          <w:szCs w:val="24"/>
        </w:rPr>
        <w:t xml:space="preserve"> dle </w:t>
      </w:r>
      <w:proofErr w:type="spellStart"/>
      <w:r w:rsidRPr="003005B2">
        <w:rPr>
          <w:iCs/>
          <w:sz w:val="24"/>
          <w:szCs w:val="24"/>
        </w:rPr>
        <w:t>ust</w:t>
      </w:r>
      <w:proofErr w:type="spellEnd"/>
      <w:r w:rsidRPr="003005B2">
        <w:rPr>
          <w:iCs/>
          <w:sz w:val="24"/>
          <w:szCs w:val="24"/>
        </w:rPr>
        <w:t xml:space="preserve">. </w:t>
      </w:r>
      <w:r w:rsidR="0022101D">
        <w:rPr>
          <w:iCs/>
          <w:sz w:val="24"/>
          <w:szCs w:val="24"/>
        </w:rPr>
        <w:t>1.3</w:t>
      </w:r>
      <w:r w:rsidRPr="003005B2">
        <w:rPr>
          <w:iCs/>
          <w:sz w:val="24"/>
          <w:szCs w:val="24"/>
        </w:rPr>
        <w:t xml:space="preserve"> </w:t>
      </w:r>
      <w:r w:rsidR="00F65CA2">
        <w:rPr>
          <w:iCs/>
          <w:sz w:val="24"/>
          <w:szCs w:val="24"/>
        </w:rPr>
        <w:t>j</w:t>
      </w:r>
      <w:r w:rsidRPr="003005B2">
        <w:rPr>
          <w:iCs/>
          <w:sz w:val="24"/>
          <w:szCs w:val="24"/>
        </w:rPr>
        <w:t>) smlouvy se rozumí možnost uživatele porovnat různé ukazatele a údaje, týkající se vlastního zdravotnického zařízení provozovaného uživatelem, s jinými (nespecifikovanými) zdravotnickými zařízeními. Základní ukazatele k porovnání jsou zejména</w:t>
      </w:r>
      <w:r>
        <w:rPr>
          <w:iCs/>
          <w:sz w:val="24"/>
          <w:szCs w:val="24"/>
        </w:rPr>
        <w:t xml:space="preserve"> průměrné hodnoty</w:t>
      </w:r>
      <w:r w:rsidRPr="003005B2">
        <w:rPr>
          <w:iCs/>
          <w:sz w:val="24"/>
          <w:szCs w:val="24"/>
        </w:rPr>
        <w:t xml:space="preserve">: délka hospitalizace, spotřeba ZUP/ZULP, bodová výkonnost apod. Tyto základní ukazatele může poskytovatel měnit v závislosti na druhu údajů získaných od uživatele a ostatních </w:t>
      </w:r>
      <w:r>
        <w:rPr>
          <w:iCs/>
          <w:sz w:val="24"/>
          <w:szCs w:val="24"/>
        </w:rPr>
        <w:t>zdravotnických zařízení.</w:t>
      </w:r>
    </w:p>
    <w:p w:rsidR="008702D9" w:rsidRPr="00EC4578" w:rsidRDefault="008702D9" w:rsidP="008702D9">
      <w:pPr>
        <w:pStyle w:val="Odstavecseseznamem"/>
        <w:numPr>
          <w:ilvl w:val="0"/>
          <w:numId w:val="2"/>
        </w:numPr>
        <w:ind w:left="1134"/>
        <w:jc w:val="both"/>
        <w:rPr>
          <w:iCs/>
          <w:sz w:val="24"/>
          <w:szCs w:val="24"/>
        </w:rPr>
      </w:pPr>
      <w:r w:rsidRPr="00EC4578">
        <w:rPr>
          <w:iCs/>
          <w:sz w:val="24"/>
          <w:szCs w:val="24"/>
        </w:rPr>
        <w:t>Uživatel souhlasí s tím, že informace ze systému </w:t>
      </w:r>
      <w:proofErr w:type="spellStart"/>
      <w:r w:rsidRPr="00EC4578">
        <w:rPr>
          <w:iCs/>
          <w:sz w:val="24"/>
          <w:szCs w:val="24"/>
        </w:rPr>
        <w:t>MediXen</w:t>
      </w:r>
      <w:proofErr w:type="spellEnd"/>
      <w:r w:rsidRPr="00EC4578">
        <w:rPr>
          <w:iCs/>
          <w:sz w:val="24"/>
          <w:szCs w:val="24"/>
        </w:rPr>
        <w:t xml:space="preserve"> budou v anonymizované podobě převedeny do systému Klinického </w:t>
      </w:r>
      <w:proofErr w:type="spellStart"/>
      <w:r w:rsidRPr="00EC4578">
        <w:rPr>
          <w:iCs/>
          <w:sz w:val="24"/>
          <w:szCs w:val="24"/>
        </w:rPr>
        <w:t>benchmarku</w:t>
      </w:r>
      <w:proofErr w:type="spellEnd"/>
      <w:r w:rsidRPr="00EC4578">
        <w:rPr>
          <w:iCs/>
          <w:sz w:val="24"/>
          <w:szCs w:val="24"/>
        </w:rPr>
        <w:t>. Tyto ukazatele a údaje tak budou uživatelem poskytovány ve formě anonymních informací, které se netýkají identifikované či identifikovatelné fyzické osoby, nebo tak, že jakýkoli subjekt údajů není nebo již přestal být identifikovatelným</w:t>
      </w:r>
      <w:r w:rsidR="00C96D64">
        <w:rPr>
          <w:iCs/>
          <w:sz w:val="24"/>
          <w:szCs w:val="24"/>
        </w:rPr>
        <w:t xml:space="preserve"> (n</w:t>
      </w:r>
      <w:r w:rsidRPr="00EC4578">
        <w:rPr>
          <w:iCs/>
          <w:sz w:val="24"/>
          <w:szCs w:val="24"/>
        </w:rPr>
        <w:t>a tato data se tím nevztahuje nařízení GDPR)</w:t>
      </w:r>
      <w:r>
        <w:rPr>
          <w:iCs/>
          <w:sz w:val="24"/>
          <w:szCs w:val="24"/>
        </w:rPr>
        <w:t>.</w:t>
      </w:r>
    </w:p>
    <w:p w:rsidR="008702D9" w:rsidRDefault="008702D9" w:rsidP="008702D9">
      <w:pPr>
        <w:pStyle w:val="Odstavecseseznamem"/>
        <w:numPr>
          <w:ilvl w:val="0"/>
          <w:numId w:val="2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Poskytovatel je oprávněn údaje a ukazatele poskytnuté mu uživatelem zpřístupnit v rámci Klinického </w:t>
      </w:r>
      <w:proofErr w:type="spellStart"/>
      <w:r>
        <w:rPr>
          <w:iCs/>
          <w:sz w:val="24"/>
          <w:szCs w:val="24"/>
        </w:rPr>
        <w:t>benchmarku</w:t>
      </w:r>
      <w:proofErr w:type="spellEnd"/>
      <w:r>
        <w:rPr>
          <w:iCs/>
          <w:sz w:val="24"/>
          <w:szCs w:val="24"/>
        </w:rPr>
        <w:t xml:space="preserve"> také jiným uživatelům a zdravotnickým zařízením, kteří využívají službu Klinického </w:t>
      </w:r>
      <w:proofErr w:type="spellStart"/>
      <w:r>
        <w:rPr>
          <w:iCs/>
          <w:sz w:val="24"/>
          <w:szCs w:val="24"/>
        </w:rPr>
        <w:t>benchmarku</w:t>
      </w:r>
      <w:proofErr w:type="spellEnd"/>
      <w:r>
        <w:rPr>
          <w:iCs/>
          <w:sz w:val="24"/>
          <w:szCs w:val="24"/>
        </w:rPr>
        <w:t>, pouze v anonymizované formě a tak, aby údaje</w:t>
      </w:r>
      <w:r w:rsidRPr="002751EC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a ukazatele poskytnuté mu uživatelem, nebyly přiřazeny konkrétnímu zdravotnickému zařízení uživatele.</w:t>
      </w:r>
      <w:r w:rsidRPr="00C06C0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Přiřazení konkrétních údajů a ukazatelů ke konkrétním zdravotnických zařízením v rámci Klinického </w:t>
      </w:r>
      <w:proofErr w:type="spellStart"/>
      <w:r>
        <w:rPr>
          <w:iCs/>
          <w:sz w:val="24"/>
          <w:szCs w:val="24"/>
        </w:rPr>
        <w:t>benchmarku</w:t>
      </w:r>
      <w:proofErr w:type="spellEnd"/>
      <w:r>
        <w:rPr>
          <w:iCs/>
          <w:sz w:val="24"/>
          <w:szCs w:val="24"/>
        </w:rPr>
        <w:t xml:space="preserve"> je možné pouze na základě písemného souhlasu jednotlivých uživatelů provozujících tato zdravotnická zařízení.</w:t>
      </w:r>
    </w:p>
    <w:p w:rsidR="008702D9" w:rsidRDefault="008702D9" w:rsidP="000C5115">
      <w:pPr>
        <w:pStyle w:val="Odstavecseseznamem"/>
        <w:ind w:left="1069"/>
        <w:rPr>
          <w:b/>
          <w:sz w:val="24"/>
        </w:rPr>
      </w:pPr>
    </w:p>
    <w:p w:rsidR="00F65CA2" w:rsidRDefault="000C5115" w:rsidP="000C5115">
      <w:pPr>
        <w:pStyle w:val="Odstavecseseznamem"/>
        <w:ind w:left="1069"/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</w:p>
    <w:p w:rsidR="00F65CA2" w:rsidRDefault="00F65CA2" w:rsidP="000C5115">
      <w:pPr>
        <w:pStyle w:val="Odstavecseseznamem"/>
        <w:ind w:left="1069"/>
        <w:rPr>
          <w:b/>
          <w:sz w:val="24"/>
        </w:rPr>
      </w:pPr>
    </w:p>
    <w:p w:rsidR="00F65CA2" w:rsidRDefault="00F65CA2" w:rsidP="000C5115">
      <w:pPr>
        <w:pStyle w:val="Odstavecseseznamem"/>
        <w:ind w:left="1069"/>
        <w:rPr>
          <w:b/>
          <w:sz w:val="24"/>
        </w:rPr>
      </w:pPr>
    </w:p>
    <w:p w:rsidR="00F65CA2" w:rsidRDefault="00F65CA2" w:rsidP="000C5115">
      <w:pPr>
        <w:pStyle w:val="Odstavecseseznamem"/>
        <w:ind w:left="1069"/>
        <w:rPr>
          <w:b/>
          <w:sz w:val="24"/>
        </w:rPr>
      </w:pPr>
    </w:p>
    <w:p w:rsidR="00F65CA2" w:rsidRDefault="00F65CA2" w:rsidP="000C5115">
      <w:pPr>
        <w:pStyle w:val="Odstavecseseznamem"/>
        <w:ind w:left="1069"/>
        <w:rPr>
          <w:b/>
          <w:sz w:val="24"/>
        </w:rPr>
      </w:pPr>
    </w:p>
    <w:p w:rsidR="00F65CA2" w:rsidRDefault="00F65CA2" w:rsidP="000C5115">
      <w:pPr>
        <w:pStyle w:val="Odstavecseseznamem"/>
        <w:ind w:left="1069"/>
        <w:rPr>
          <w:b/>
          <w:sz w:val="24"/>
        </w:rPr>
      </w:pPr>
    </w:p>
    <w:p w:rsidR="00F65CA2" w:rsidRDefault="00F65CA2" w:rsidP="000C5115">
      <w:pPr>
        <w:pStyle w:val="Odstavecseseznamem"/>
        <w:ind w:left="1069"/>
        <w:rPr>
          <w:b/>
          <w:sz w:val="24"/>
        </w:rPr>
      </w:pPr>
    </w:p>
    <w:p w:rsidR="00F65CA2" w:rsidRDefault="00F65CA2" w:rsidP="000C5115">
      <w:pPr>
        <w:pStyle w:val="Odstavecseseznamem"/>
        <w:ind w:left="1069"/>
        <w:rPr>
          <w:b/>
          <w:sz w:val="24"/>
        </w:rPr>
      </w:pPr>
    </w:p>
    <w:p w:rsidR="00F65CA2" w:rsidRDefault="00F65CA2" w:rsidP="000C5115">
      <w:pPr>
        <w:pStyle w:val="Odstavecseseznamem"/>
        <w:ind w:left="1069"/>
        <w:rPr>
          <w:b/>
          <w:sz w:val="24"/>
        </w:rPr>
      </w:pPr>
    </w:p>
    <w:p w:rsidR="00862370" w:rsidRDefault="00862370" w:rsidP="00F65CA2">
      <w:pPr>
        <w:pStyle w:val="Odstavecseseznamem"/>
        <w:ind w:left="1069"/>
        <w:jc w:val="center"/>
        <w:rPr>
          <w:b/>
          <w:sz w:val="24"/>
        </w:rPr>
      </w:pPr>
    </w:p>
    <w:p w:rsidR="00862370" w:rsidRDefault="00862370" w:rsidP="00F65CA2">
      <w:pPr>
        <w:pStyle w:val="Odstavecseseznamem"/>
        <w:ind w:left="1069"/>
        <w:jc w:val="center"/>
        <w:rPr>
          <w:b/>
          <w:sz w:val="24"/>
        </w:rPr>
      </w:pPr>
    </w:p>
    <w:p w:rsidR="00862370" w:rsidRDefault="00862370" w:rsidP="00F65CA2">
      <w:pPr>
        <w:pStyle w:val="Odstavecseseznamem"/>
        <w:ind w:left="1069"/>
        <w:jc w:val="center"/>
        <w:rPr>
          <w:b/>
          <w:sz w:val="24"/>
        </w:rPr>
      </w:pPr>
    </w:p>
    <w:p w:rsidR="000C5115" w:rsidRDefault="000C5115" w:rsidP="00F65CA2">
      <w:pPr>
        <w:pStyle w:val="Odstavecseseznamem"/>
        <w:ind w:left="1069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OSTATNÍ UJEDNÁNÍ</w:t>
      </w:r>
      <w:r>
        <w:rPr>
          <w:b/>
          <w:sz w:val="24"/>
        </w:rPr>
        <w:br/>
      </w:r>
    </w:p>
    <w:p w:rsidR="000C5115" w:rsidRPr="005C1F16" w:rsidRDefault="000C5115" w:rsidP="008702D9">
      <w:pPr>
        <w:pStyle w:val="Odstavecseseznamem"/>
        <w:numPr>
          <w:ilvl w:val="0"/>
          <w:numId w:val="7"/>
        </w:numPr>
        <w:rPr>
          <w:iCs/>
          <w:sz w:val="24"/>
          <w:szCs w:val="24"/>
        </w:rPr>
      </w:pPr>
      <w:r w:rsidRPr="005C1F16">
        <w:rPr>
          <w:iCs/>
          <w:sz w:val="24"/>
          <w:szCs w:val="24"/>
        </w:rPr>
        <w:t xml:space="preserve">Dodatek vstupuje v účinnost 1. </w:t>
      </w:r>
      <w:r w:rsidR="00A6013D">
        <w:rPr>
          <w:iCs/>
          <w:sz w:val="24"/>
          <w:szCs w:val="24"/>
        </w:rPr>
        <w:t>7</w:t>
      </w:r>
      <w:r w:rsidR="00937098">
        <w:rPr>
          <w:iCs/>
          <w:sz w:val="24"/>
          <w:szCs w:val="24"/>
        </w:rPr>
        <w:t>. 2018</w:t>
      </w:r>
    </w:p>
    <w:p w:rsidR="000C5115" w:rsidRPr="008702D9" w:rsidRDefault="000C5115" w:rsidP="008702D9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702D9">
        <w:rPr>
          <w:sz w:val="24"/>
          <w:szCs w:val="24"/>
        </w:rPr>
        <w:t xml:space="preserve">Dodatek je nedílnou součástí smlouvy o dílo a smlouvy licenční č. </w:t>
      </w:r>
      <w:r w:rsidR="00C6133F" w:rsidRPr="008702D9">
        <w:rPr>
          <w:sz w:val="24"/>
          <w:szCs w:val="24"/>
        </w:rPr>
        <w:t>MSS</w:t>
      </w:r>
      <w:r w:rsidR="008702D9">
        <w:rPr>
          <w:iCs/>
          <w:sz w:val="24"/>
          <w:szCs w:val="24"/>
        </w:rPr>
        <w:t xml:space="preserve"> 201</w:t>
      </w:r>
      <w:r w:rsidR="00A6013D">
        <w:rPr>
          <w:iCs/>
          <w:sz w:val="24"/>
          <w:szCs w:val="24"/>
        </w:rPr>
        <w:t>401</w:t>
      </w:r>
      <w:r w:rsidRPr="008702D9">
        <w:rPr>
          <w:iCs/>
          <w:sz w:val="24"/>
          <w:szCs w:val="24"/>
        </w:rPr>
        <w:t>IT</w:t>
      </w:r>
      <w:r w:rsidRPr="008702D9">
        <w:rPr>
          <w:sz w:val="24"/>
          <w:szCs w:val="24"/>
          <w:highlight w:val="yellow"/>
        </w:rPr>
        <w:br/>
      </w:r>
    </w:p>
    <w:p w:rsidR="00264BD2" w:rsidRPr="000C5115" w:rsidRDefault="00207959" w:rsidP="0020795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64BD2" w:rsidRPr="000C5115">
        <w:rPr>
          <w:sz w:val="24"/>
          <w:szCs w:val="24"/>
        </w:rPr>
        <w:t>V</w:t>
      </w:r>
      <w:r w:rsidR="00A6013D">
        <w:rPr>
          <w:sz w:val="24"/>
          <w:szCs w:val="24"/>
        </w:rPr>
        <w:t> Brně</w:t>
      </w:r>
      <w:r w:rsidR="00264BD2" w:rsidRPr="000C5115">
        <w:rPr>
          <w:sz w:val="24"/>
          <w:szCs w:val="24"/>
        </w:rPr>
        <w:t xml:space="preserve"> </w:t>
      </w:r>
      <w:r w:rsidR="00264BD2" w:rsidRPr="005C1F16">
        <w:rPr>
          <w:sz w:val="24"/>
          <w:szCs w:val="24"/>
        </w:rPr>
        <w:t>dne</w:t>
      </w:r>
      <w:r w:rsidR="003B54BF" w:rsidRPr="005C1F16">
        <w:rPr>
          <w:sz w:val="24"/>
          <w:szCs w:val="24"/>
        </w:rPr>
        <w:t xml:space="preserve"> </w:t>
      </w:r>
      <w:r w:rsidR="002321C5">
        <w:rPr>
          <w:sz w:val="24"/>
          <w:szCs w:val="24"/>
        </w:rPr>
        <w:t xml:space="preserve">26. 6. </w:t>
      </w:r>
      <w:r w:rsidR="00937098">
        <w:rPr>
          <w:sz w:val="24"/>
          <w:szCs w:val="24"/>
        </w:rPr>
        <w:t>2018</w:t>
      </w:r>
    </w:p>
    <w:p w:rsidR="00264BD2" w:rsidRDefault="00264BD2" w:rsidP="00264BD2">
      <w:pPr>
        <w:jc w:val="both"/>
      </w:pPr>
    </w:p>
    <w:p w:rsidR="00F65CA2" w:rsidRDefault="00F65CA2" w:rsidP="00264BD2">
      <w:pPr>
        <w:jc w:val="both"/>
      </w:pPr>
    </w:p>
    <w:p w:rsidR="00264BD2" w:rsidRDefault="00264BD2" w:rsidP="003B54BF">
      <w:pPr>
        <w:ind w:firstLine="360"/>
        <w:jc w:val="both"/>
      </w:pPr>
      <w:r>
        <w:t>……………………………………………                                                                     …………………………………………</w:t>
      </w:r>
    </w:p>
    <w:p w:rsidR="00264BD2" w:rsidRDefault="005E0552" w:rsidP="005E0552">
      <w:pPr>
        <w:spacing w:after="0" w:line="240" w:lineRule="auto"/>
        <w:ind w:firstLine="357"/>
        <w:jc w:val="both"/>
      </w:pPr>
      <w:r>
        <w:t>Uživat</w:t>
      </w:r>
      <w:r w:rsidR="00264BD2">
        <w:t>el</w:t>
      </w:r>
      <w:r>
        <w:tab/>
      </w:r>
      <w:r w:rsidR="00264BD2">
        <w:t xml:space="preserve">                                                                                                    Poskytovatel</w:t>
      </w:r>
    </w:p>
    <w:p w:rsidR="005E0552" w:rsidRDefault="00C6133F" w:rsidP="005E0552">
      <w:pPr>
        <w:spacing w:after="0" w:line="240" w:lineRule="auto"/>
        <w:ind w:firstLine="357"/>
        <w:jc w:val="both"/>
      </w:pPr>
      <w:r>
        <w:t xml:space="preserve">Ing. </w:t>
      </w:r>
      <w:r w:rsidR="00A6013D">
        <w:t xml:space="preserve">Zdeněk </w:t>
      </w:r>
      <w:proofErr w:type="spellStart"/>
      <w:r w:rsidR="00A6013D">
        <w:t>Buštík</w:t>
      </w:r>
      <w:proofErr w:type="spellEnd"/>
      <w:r w:rsidR="00594B1B">
        <w:t>,</w:t>
      </w:r>
      <w:r w:rsidR="002321C5">
        <w:t xml:space="preserve"> MBA,</w:t>
      </w:r>
      <w:r w:rsidR="00594B1B">
        <w:t xml:space="preserve"> ředitel </w:t>
      </w:r>
      <w:r w:rsidR="00594B1B">
        <w:tab/>
      </w:r>
      <w:r w:rsidR="00594B1B">
        <w:tab/>
      </w:r>
      <w:r w:rsidR="00594B1B">
        <w:tab/>
      </w:r>
      <w:r w:rsidR="00594B1B">
        <w:tab/>
      </w:r>
      <w:r w:rsidR="00594B1B">
        <w:tab/>
      </w:r>
      <w:r w:rsidR="00594B1B">
        <w:tab/>
      </w:r>
      <w:r w:rsidR="005E0552">
        <w:t>Ivo Topinka, jednatel</w:t>
      </w:r>
    </w:p>
    <w:sectPr w:rsidR="005E0552" w:rsidSect="00856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1D0466D4"/>
    <w:multiLevelType w:val="hybridMultilevel"/>
    <w:tmpl w:val="9A3C9212"/>
    <w:lvl w:ilvl="0" w:tplc="3072D5B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4F6B44"/>
    <w:multiLevelType w:val="multilevel"/>
    <w:tmpl w:val="C890B36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b/>
      </w:rPr>
    </w:lvl>
  </w:abstractNum>
  <w:abstractNum w:abstractNumId="3" w15:restartNumberingAfterBreak="0">
    <w:nsid w:val="2A007913"/>
    <w:multiLevelType w:val="hybridMultilevel"/>
    <w:tmpl w:val="730E68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E2927"/>
    <w:multiLevelType w:val="hybridMultilevel"/>
    <w:tmpl w:val="9A3C9212"/>
    <w:lvl w:ilvl="0" w:tplc="3072D5B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5F2975"/>
    <w:multiLevelType w:val="hybridMultilevel"/>
    <w:tmpl w:val="74BE0340"/>
    <w:lvl w:ilvl="0" w:tplc="F412D718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5E5363A3"/>
    <w:multiLevelType w:val="hybridMultilevel"/>
    <w:tmpl w:val="B808A0FC"/>
    <w:lvl w:ilvl="0" w:tplc="FB06C1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9842E9"/>
    <w:multiLevelType w:val="hybridMultilevel"/>
    <w:tmpl w:val="9A3C9212"/>
    <w:lvl w:ilvl="0" w:tplc="3072D5B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1D1D17"/>
    <w:multiLevelType w:val="hybridMultilevel"/>
    <w:tmpl w:val="0092472A"/>
    <w:lvl w:ilvl="0" w:tplc="C48CBED2">
      <w:numFmt w:val="bullet"/>
      <w:lvlText w:val="-"/>
      <w:lvlJc w:val="left"/>
      <w:pPr>
        <w:ind w:left="288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2BE3DCB"/>
    <w:multiLevelType w:val="hybridMultilevel"/>
    <w:tmpl w:val="897CD43A"/>
    <w:lvl w:ilvl="0" w:tplc="499C4F6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C8279E"/>
    <w:multiLevelType w:val="hybridMultilevel"/>
    <w:tmpl w:val="897CD43A"/>
    <w:lvl w:ilvl="0" w:tplc="499C4F6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88"/>
    <w:rsid w:val="000070B0"/>
    <w:rsid w:val="00033E20"/>
    <w:rsid w:val="00036FE1"/>
    <w:rsid w:val="00051C66"/>
    <w:rsid w:val="00052196"/>
    <w:rsid w:val="00052504"/>
    <w:rsid w:val="000628AB"/>
    <w:rsid w:val="0007578B"/>
    <w:rsid w:val="00096177"/>
    <w:rsid w:val="000964D9"/>
    <w:rsid w:val="000A0888"/>
    <w:rsid w:val="000A7E73"/>
    <w:rsid w:val="000C5115"/>
    <w:rsid w:val="000E3073"/>
    <w:rsid w:val="000F5757"/>
    <w:rsid w:val="00164F7D"/>
    <w:rsid w:val="00172C58"/>
    <w:rsid w:val="0018210B"/>
    <w:rsid w:val="001B1550"/>
    <w:rsid w:val="001E0CBC"/>
    <w:rsid w:val="001E4031"/>
    <w:rsid w:val="001F7699"/>
    <w:rsid w:val="00203D35"/>
    <w:rsid w:val="00207959"/>
    <w:rsid w:val="0021352F"/>
    <w:rsid w:val="0022101D"/>
    <w:rsid w:val="00227864"/>
    <w:rsid w:val="00227AF3"/>
    <w:rsid w:val="002321C5"/>
    <w:rsid w:val="0023427C"/>
    <w:rsid w:val="00264BD2"/>
    <w:rsid w:val="00277E7F"/>
    <w:rsid w:val="002B79F9"/>
    <w:rsid w:val="002C01C2"/>
    <w:rsid w:val="002C319D"/>
    <w:rsid w:val="002D4C1F"/>
    <w:rsid w:val="002D667E"/>
    <w:rsid w:val="002E61A2"/>
    <w:rsid w:val="00332AC1"/>
    <w:rsid w:val="00342DCC"/>
    <w:rsid w:val="003445E9"/>
    <w:rsid w:val="00346474"/>
    <w:rsid w:val="00347A9C"/>
    <w:rsid w:val="00350D45"/>
    <w:rsid w:val="00387C51"/>
    <w:rsid w:val="003B54BF"/>
    <w:rsid w:val="003E5392"/>
    <w:rsid w:val="003F02D4"/>
    <w:rsid w:val="00412172"/>
    <w:rsid w:val="0041663F"/>
    <w:rsid w:val="0042319B"/>
    <w:rsid w:val="00441B38"/>
    <w:rsid w:val="0045305B"/>
    <w:rsid w:val="004872CA"/>
    <w:rsid w:val="004A21A5"/>
    <w:rsid w:val="004A5510"/>
    <w:rsid w:val="004B380E"/>
    <w:rsid w:val="004C74BD"/>
    <w:rsid w:val="004D2B42"/>
    <w:rsid w:val="004F01FF"/>
    <w:rsid w:val="004F64ED"/>
    <w:rsid w:val="005026C6"/>
    <w:rsid w:val="005050B9"/>
    <w:rsid w:val="005158BD"/>
    <w:rsid w:val="00515A80"/>
    <w:rsid w:val="00532658"/>
    <w:rsid w:val="005363D5"/>
    <w:rsid w:val="00557F5C"/>
    <w:rsid w:val="0056294F"/>
    <w:rsid w:val="0057136B"/>
    <w:rsid w:val="00572041"/>
    <w:rsid w:val="00594B1B"/>
    <w:rsid w:val="005A3B44"/>
    <w:rsid w:val="005B026A"/>
    <w:rsid w:val="005C1F16"/>
    <w:rsid w:val="005C3588"/>
    <w:rsid w:val="005D6FB4"/>
    <w:rsid w:val="005D791F"/>
    <w:rsid w:val="005E0552"/>
    <w:rsid w:val="005E7AE6"/>
    <w:rsid w:val="005F630C"/>
    <w:rsid w:val="00602646"/>
    <w:rsid w:val="00604245"/>
    <w:rsid w:val="006538D3"/>
    <w:rsid w:val="00665865"/>
    <w:rsid w:val="00675401"/>
    <w:rsid w:val="006872EB"/>
    <w:rsid w:val="006B7B77"/>
    <w:rsid w:val="007043AA"/>
    <w:rsid w:val="00715E14"/>
    <w:rsid w:val="007224DE"/>
    <w:rsid w:val="007254E9"/>
    <w:rsid w:val="00745D41"/>
    <w:rsid w:val="00746073"/>
    <w:rsid w:val="00747C5B"/>
    <w:rsid w:val="00780103"/>
    <w:rsid w:val="00783347"/>
    <w:rsid w:val="00795A89"/>
    <w:rsid w:val="007B2B84"/>
    <w:rsid w:val="007C4CF0"/>
    <w:rsid w:val="007F1E3E"/>
    <w:rsid w:val="007F318C"/>
    <w:rsid w:val="007F5AF7"/>
    <w:rsid w:val="00856BEE"/>
    <w:rsid w:val="00862370"/>
    <w:rsid w:val="008702D9"/>
    <w:rsid w:val="008A2461"/>
    <w:rsid w:val="008B25FE"/>
    <w:rsid w:val="008C2548"/>
    <w:rsid w:val="008C77A0"/>
    <w:rsid w:val="0091117F"/>
    <w:rsid w:val="00937098"/>
    <w:rsid w:val="00944DCD"/>
    <w:rsid w:val="009848AB"/>
    <w:rsid w:val="009A2380"/>
    <w:rsid w:val="009A2BE8"/>
    <w:rsid w:val="009C0037"/>
    <w:rsid w:val="00A56DD9"/>
    <w:rsid w:val="00A56E30"/>
    <w:rsid w:val="00A6013D"/>
    <w:rsid w:val="00A84231"/>
    <w:rsid w:val="00A87CF6"/>
    <w:rsid w:val="00A93B8E"/>
    <w:rsid w:val="00A94AA3"/>
    <w:rsid w:val="00AC5D30"/>
    <w:rsid w:val="00AD46B5"/>
    <w:rsid w:val="00AE0FEC"/>
    <w:rsid w:val="00AE14C8"/>
    <w:rsid w:val="00AE5432"/>
    <w:rsid w:val="00AF187C"/>
    <w:rsid w:val="00B11A86"/>
    <w:rsid w:val="00B432E6"/>
    <w:rsid w:val="00B5222D"/>
    <w:rsid w:val="00B669E9"/>
    <w:rsid w:val="00BA65E4"/>
    <w:rsid w:val="00BB4A7B"/>
    <w:rsid w:val="00BC7D43"/>
    <w:rsid w:val="00BE2AAA"/>
    <w:rsid w:val="00C21FB0"/>
    <w:rsid w:val="00C22955"/>
    <w:rsid w:val="00C308DF"/>
    <w:rsid w:val="00C3279B"/>
    <w:rsid w:val="00C40E4B"/>
    <w:rsid w:val="00C427EC"/>
    <w:rsid w:val="00C474A6"/>
    <w:rsid w:val="00C6133F"/>
    <w:rsid w:val="00C61AEA"/>
    <w:rsid w:val="00C6781A"/>
    <w:rsid w:val="00C771FF"/>
    <w:rsid w:val="00C8281D"/>
    <w:rsid w:val="00C96D64"/>
    <w:rsid w:val="00CC47A5"/>
    <w:rsid w:val="00CC4846"/>
    <w:rsid w:val="00CD39BD"/>
    <w:rsid w:val="00CD4DA7"/>
    <w:rsid w:val="00CD5196"/>
    <w:rsid w:val="00D0377B"/>
    <w:rsid w:val="00D04E67"/>
    <w:rsid w:val="00D063A0"/>
    <w:rsid w:val="00D33987"/>
    <w:rsid w:val="00D76EDE"/>
    <w:rsid w:val="00D804D3"/>
    <w:rsid w:val="00DB2294"/>
    <w:rsid w:val="00DD5B44"/>
    <w:rsid w:val="00DE7322"/>
    <w:rsid w:val="00E00793"/>
    <w:rsid w:val="00E35AF2"/>
    <w:rsid w:val="00E41988"/>
    <w:rsid w:val="00E50056"/>
    <w:rsid w:val="00E53211"/>
    <w:rsid w:val="00E66EE2"/>
    <w:rsid w:val="00EB17C1"/>
    <w:rsid w:val="00EB4298"/>
    <w:rsid w:val="00ED60B3"/>
    <w:rsid w:val="00EE3AAF"/>
    <w:rsid w:val="00F05050"/>
    <w:rsid w:val="00F129BC"/>
    <w:rsid w:val="00F14CD2"/>
    <w:rsid w:val="00F514DA"/>
    <w:rsid w:val="00F65CA2"/>
    <w:rsid w:val="00F9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2AA78-A8CF-41FC-AF10-70FBE91B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E53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71FF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8C77A0"/>
    <w:pPr>
      <w:suppressAutoHyphens/>
      <w:spacing w:after="0" w:line="240" w:lineRule="auto"/>
      <w:ind w:left="1416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C77A0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psm">
    <w:name w:val="písm"/>
    <w:basedOn w:val="Normln"/>
    <w:rsid w:val="004C74BD"/>
    <w:pPr>
      <w:tabs>
        <w:tab w:val="left" w:pos="1191"/>
        <w:tab w:val="left" w:pos="1588"/>
        <w:tab w:val="left" w:pos="2382"/>
      </w:tabs>
      <w:suppressAutoHyphens/>
      <w:spacing w:before="40" w:after="0" w:line="240" w:lineRule="auto"/>
      <w:ind w:left="794" w:hanging="39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C6133F"/>
  </w:style>
  <w:style w:type="paragraph" w:customStyle="1" w:styleId="Odstavecseseznamem1">
    <w:name w:val="Odstavec se seznamem1"/>
    <w:basedOn w:val="Normln"/>
    <w:qFormat/>
    <w:rsid w:val="0018210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7C33-2D3E-4C55-8DEA-33B5ACEF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JTYC</dc:creator>
  <cp:lastModifiedBy>uzivatel</cp:lastModifiedBy>
  <cp:revision>25</cp:revision>
  <cp:lastPrinted>2013-08-19T10:29:00Z</cp:lastPrinted>
  <dcterms:created xsi:type="dcterms:W3CDTF">2017-08-25T13:39:00Z</dcterms:created>
  <dcterms:modified xsi:type="dcterms:W3CDTF">2018-07-03T06:06:00Z</dcterms:modified>
</cp:coreProperties>
</file>