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3022" w:right="0" w:firstLine="0"/>
        <w:jc w:val="left"/>
        <w:rPr>
          <w:b/>
          <w:sz w:val="28"/>
        </w:rPr>
      </w:pPr>
      <w:r>
        <w:rPr>
          <w:b/>
          <w:sz w:val="28"/>
        </w:rPr>
        <w:t>Smlouva o administraci projektu</w:t>
      </w:r>
    </w:p>
    <w:p>
      <w:pPr>
        <w:pStyle w:val="Heading1"/>
        <w:spacing w:before="188"/>
        <w:ind w:right="7753" w:firstLine="0"/>
      </w:pPr>
      <w:r>
        <w:rPr/>
        <w:t>Poskytovatel služby: Typeco spol. s r.o.</w:t>
      </w:r>
    </w:p>
    <w:p>
      <w:pPr>
        <w:pStyle w:val="BodyText"/>
        <w:tabs>
          <w:tab w:pos="2241" w:val="left" w:leader="none"/>
        </w:tabs>
        <w:ind w:left="117" w:right="3431" w:firstLine="0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Klapkova 1874/83, 18200 Praha 8- Kobylisy IČ:</w:t>
        <w:tab/>
        <w:t>2841 0092</w:t>
      </w:r>
    </w:p>
    <w:p>
      <w:pPr>
        <w:pStyle w:val="BodyText"/>
        <w:tabs>
          <w:tab w:pos="2241" w:val="left" w:leader="none"/>
        </w:tabs>
        <w:ind w:left="117" w:right="2238" w:firstLine="0"/>
      </w:pPr>
      <w:r>
        <w:rPr/>
        <w:t>Zastoupena:</w:t>
        <w:tab/>
        <w:t>Veronikou Schovánkovou, jednatelem společnosti Kontaktní</w:t>
      </w:r>
      <w:r>
        <w:rPr>
          <w:spacing w:val="-2"/>
        </w:rPr>
        <w:t> </w:t>
      </w:r>
      <w:r>
        <w:rPr/>
        <w:t>údaje:</w:t>
        <w:tab/>
        <w:t>Email: </w:t>
      </w:r>
      <w:hyperlink r:id="rId5">
        <w:r>
          <w:rPr>
            <w:color w:val="0462C1"/>
            <w:u w:val="single" w:color="0462C1"/>
          </w:rPr>
          <w:t>v.schovankova@typeco.cz</w:t>
        </w:r>
      </w:hyperlink>
      <w:r>
        <w:rPr/>
        <w:t>, tel. +420 728 027 121 Zapsána u Městského soudu v Praze, oddíl C, vložka</w:t>
      </w:r>
      <w:r>
        <w:rPr>
          <w:spacing w:val="-6"/>
        </w:rPr>
        <w:t> </w:t>
      </w:r>
      <w:r>
        <w:rPr/>
        <w:t>139521</w:t>
      </w:r>
    </w:p>
    <w:p>
      <w:pPr>
        <w:pStyle w:val="BodyText"/>
        <w:ind w:left="117" w:firstLine="0"/>
      </w:pPr>
      <w:r>
        <w:rPr/>
        <w:t>(dále „Poskytovatel“)</w:t>
      </w:r>
    </w:p>
    <w:p>
      <w:pPr>
        <w:pStyle w:val="BodyText"/>
        <w:ind w:left="0" w:firstLine="0"/>
      </w:pPr>
    </w:p>
    <w:p>
      <w:pPr>
        <w:pStyle w:val="Heading1"/>
        <w:ind w:firstLine="0"/>
      </w:pPr>
      <w:r>
        <w:rPr/>
        <w:t>Příjemce služby</w:t>
      </w:r>
    </w:p>
    <w:p>
      <w:pPr>
        <w:spacing w:line="274" w:lineRule="exact"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Základní škola, Praha 10, Gutova 39/1987</w:t>
      </w:r>
    </w:p>
    <w:p>
      <w:pPr>
        <w:pStyle w:val="BodyText"/>
        <w:spacing w:line="274" w:lineRule="exact"/>
        <w:ind w:left="117" w:firstLine="0"/>
      </w:pPr>
      <w:r>
        <w:rPr/>
        <w:t>Se sídlem: Gutova 39/1987, Praha 10, 100 00</w:t>
      </w:r>
    </w:p>
    <w:p>
      <w:pPr>
        <w:pStyle w:val="BodyText"/>
        <w:spacing w:before="1"/>
        <w:ind w:left="117" w:firstLine="0"/>
      </w:pPr>
      <w:r>
        <w:rPr/>
        <w:t>IČ: 476 11 880</w:t>
      </w:r>
    </w:p>
    <w:p>
      <w:pPr>
        <w:pStyle w:val="BodyText"/>
        <w:ind w:left="117" w:right="4961" w:firstLine="0"/>
      </w:pPr>
      <w:r>
        <w:rPr/>
        <w:t>Zastoupena: panem ředitelem Mgr. Jiřím Vonešem Kontaktní údaje: </w:t>
      </w:r>
      <w:hyperlink r:id="rId6">
        <w:r>
          <w:rPr>
            <w:color w:val="0462C1"/>
            <w:u w:val="single" w:color="0462C1"/>
          </w:rPr>
          <w:t>skola@zsgutova.cz</w:t>
        </w:r>
      </w:hyperlink>
      <w:r>
        <w:rPr/>
        <w:t>, 777685295 (dále jen „Příjemce“)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1"/>
        <w:ind w:left="0" w:firstLine="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37" w:val="left" w:leader="none"/>
          <w:tab w:pos="4638" w:val="left" w:leader="none"/>
        </w:tabs>
        <w:spacing w:line="240" w:lineRule="auto" w:before="0" w:after="0"/>
        <w:ind w:left="4637" w:right="0" w:hanging="720"/>
        <w:jc w:val="left"/>
      </w:pPr>
      <w:r>
        <w:rPr/>
        <w:t>Předmět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line="259" w:lineRule="auto" w:before="178"/>
        <w:ind w:left="117" w:right="374" w:firstLine="0"/>
      </w:pPr>
      <w:r>
        <w:rPr/>
        <w:t>Předmětem této smlouvy je závazek poskytovatele zabezpečit kompletní přípravu žádosti včetně administrace v době hodnocení žádosti v rámci operačního programu OPVVV v rámci výzvy č. 02_16_023 Podpora škol formou projektů zjednodušeného vykazování – Šablony pro MŠ a ZŠ I v prioritní ose 3 Rovný přístup ke kvalitnímu předškolnímu, primárnímu a sekundárnímu vzdělávání vyhlášené 23.6.2016 a dále po té, co projekt s názvem „ Základní škola Gutova“ s reg. číslem CZ.02.3.68/0.0/0.0/16_023/0005033 získá dotaci, zabezpečit administraci projektu po přiznání dotace ve vztahu k poskytovateli dotace.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28"/>
        <w:ind w:left="458" w:right="5191" w:firstLine="0"/>
        <w:jc w:val="center"/>
      </w:pPr>
      <w:r>
        <w:rPr/>
        <w:t>Tato činnost zahrnuje především tyto úkony:</w:t>
      </w:r>
    </w:p>
    <w:p>
      <w:pPr>
        <w:pStyle w:val="BodyText"/>
        <w:spacing w:before="180"/>
        <w:ind w:left="117" w:firstLine="0"/>
      </w:pPr>
      <w:r>
        <w:rPr/>
        <w:t>A)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59" w:lineRule="auto" w:before="198" w:after="0"/>
        <w:ind w:left="1558" w:right="170" w:hanging="360"/>
        <w:jc w:val="left"/>
        <w:rPr>
          <w:sz w:val="24"/>
        </w:rPr>
      </w:pPr>
      <w:r>
        <w:rPr>
          <w:sz w:val="24"/>
        </w:rPr>
        <w:t>poskytování konzultace k zamýšlené podobě projektu, aktivní doporučení ze strany poskytovatele, sestavení či pomoc při sestavování předpokládaného rozpočtu projektu včetně posouzení uznatelnosti nákladů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40" w:lineRule="auto" w:before="17" w:after="0"/>
        <w:ind w:left="1558" w:right="0" w:hanging="360"/>
        <w:jc w:val="left"/>
        <w:rPr>
          <w:sz w:val="24"/>
        </w:rPr>
      </w:pPr>
      <w:r>
        <w:rPr>
          <w:sz w:val="24"/>
        </w:rPr>
        <w:t>zpracování žádosti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59" w:lineRule="auto" w:before="37" w:after="0"/>
        <w:ind w:left="1558" w:right="468" w:hanging="360"/>
        <w:jc w:val="left"/>
        <w:rPr>
          <w:sz w:val="24"/>
        </w:rPr>
      </w:pPr>
      <w:r>
        <w:rPr>
          <w:sz w:val="24"/>
        </w:rPr>
        <w:t>přípravu podkladů pro zajištění potřebných dokumentů, stanovisek, rozhodnutí pro zpracování žádosti o podporu a to ve spolupráci s</w:t>
      </w:r>
      <w:r>
        <w:rPr>
          <w:spacing w:val="-3"/>
          <w:sz w:val="24"/>
        </w:rPr>
        <w:t> </w:t>
      </w:r>
      <w:r>
        <w:rPr>
          <w:sz w:val="24"/>
        </w:rPr>
        <w:t>příjemcem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59" w:lineRule="auto" w:before="15" w:after="0"/>
        <w:ind w:left="1558" w:right="277" w:hanging="360"/>
        <w:jc w:val="left"/>
        <w:rPr>
          <w:sz w:val="24"/>
        </w:rPr>
      </w:pPr>
      <w:r>
        <w:rPr>
          <w:sz w:val="24"/>
        </w:rPr>
        <w:t>zajištění zpracování podkladů – analýz – pokud je to pro projekt či projektový záměr nezbytné a to ve spolupráci s</w:t>
      </w:r>
      <w:r>
        <w:rPr>
          <w:spacing w:val="-2"/>
          <w:sz w:val="24"/>
        </w:rPr>
        <w:t> </w:t>
      </w:r>
      <w:r>
        <w:rPr>
          <w:sz w:val="24"/>
        </w:rPr>
        <w:t>příjemcem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59" w:lineRule="auto" w:before="17" w:after="0"/>
        <w:ind w:left="1558" w:right="500" w:hanging="360"/>
        <w:jc w:val="left"/>
        <w:rPr>
          <w:sz w:val="24"/>
        </w:rPr>
      </w:pPr>
      <w:r>
        <w:rPr>
          <w:sz w:val="24"/>
        </w:rPr>
        <w:t>kompletaci dalších povinných příloh projektu, které budou vyžadovány na</w:t>
      </w:r>
      <w:r>
        <w:rPr>
          <w:spacing w:val="-18"/>
          <w:sz w:val="24"/>
        </w:rPr>
        <w:t> </w:t>
      </w:r>
      <w:r>
        <w:rPr>
          <w:sz w:val="24"/>
        </w:rPr>
        <w:t>základě určujících podmínek pro uchazeče o dotaci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40" w:lineRule="auto" w:before="15" w:after="0"/>
        <w:ind w:left="1558" w:right="0" w:hanging="360"/>
        <w:jc w:val="left"/>
        <w:rPr>
          <w:sz w:val="24"/>
        </w:rPr>
      </w:pPr>
      <w:r>
        <w:rPr>
          <w:sz w:val="24"/>
        </w:rPr>
        <w:t>finální kompletace projektové žádosti a zajištění podání žádosti na sběrném</w:t>
      </w:r>
      <w:r>
        <w:rPr>
          <w:spacing w:val="-12"/>
          <w:sz w:val="24"/>
        </w:rPr>
        <w:t> </w:t>
      </w:r>
      <w:r>
        <w:rPr>
          <w:sz w:val="24"/>
        </w:rPr>
        <w:t>místě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40" w:lineRule="auto" w:before="38" w:after="0"/>
        <w:ind w:left="1558" w:right="0" w:hanging="360"/>
        <w:jc w:val="left"/>
        <w:rPr>
          <w:sz w:val="24"/>
        </w:rPr>
      </w:pPr>
      <w:r>
        <w:rPr>
          <w:sz w:val="24"/>
        </w:rPr>
        <w:t>úpravy žádosti a podkladů vyplývajících z jednotlivých stupňů</w:t>
      </w:r>
      <w:r>
        <w:rPr>
          <w:spacing w:val="-4"/>
          <w:sz w:val="24"/>
        </w:rPr>
        <w:t> </w:t>
      </w:r>
      <w:r>
        <w:rPr>
          <w:sz w:val="24"/>
        </w:rPr>
        <w:t>kontrol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40" w:lineRule="auto" w:before="37" w:after="0"/>
        <w:ind w:left="1558" w:right="0" w:hanging="360"/>
        <w:jc w:val="left"/>
        <w:rPr>
          <w:sz w:val="24"/>
        </w:rPr>
      </w:pPr>
      <w:r>
        <w:rPr>
          <w:sz w:val="24"/>
        </w:rPr>
        <w:t>sledování projektové žádosti do přidělení</w:t>
      </w:r>
      <w:r>
        <w:rPr>
          <w:spacing w:val="-3"/>
          <w:sz w:val="24"/>
        </w:rPr>
        <w:t> </w:t>
      </w:r>
      <w:r>
        <w:rPr>
          <w:sz w:val="24"/>
        </w:rPr>
        <w:t>dotace</w:t>
      </w:r>
    </w:p>
    <w:p>
      <w:pPr>
        <w:pStyle w:val="BodyText"/>
        <w:spacing w:before="183"/>
        <w:ind w:left="117" w:firstLine="0"/>
      </w:pPr>
      <w:r>
        <w:rPr/>
        <w:t>B)</w:t>
      </w:r>
    </w:p>
    <w:p>
      <w:pPr>
        <w:pStyle w:val="ListParagraph"/>
        <w:numPr>
          <w:ilvl w:val="0"/>
          <w:numId w:val="2"/>
        </w:numPr>
        <w:tabs>
          <w:tab w:pos="1537" w:val="left" w:leader="none"/>
        </w:tabs>
        <w:spacing w:line="259" w:lineRule="auto" w:before="198" w:after="0"/>
        <w:ind w:left="1536" w:right="250" w:hanging="286"/>
        <w:jc w:val="left"/>
        <w:rPr>
          <w:sz w:val="24"/>
        </w:rPr>
      </w:pPr>
      <w:r>
        <w:rPr>
          <w:sz w:val="24"/>
        </w:rPr>
        <w:t>administrace projektu ve vztahu k poskytovateli dotace, tvorbu monitorovacích zpráv a žádosti o platbu včetně závěrečného vyúčtování (více viz Příloha č.</w:t>
      </w:r>
      <w:r>
        <w:rPr>
          <w:spacing w:val="-2"/>
          <w:sz w:val="24"/>
        </w:rPr>
        <w:t> </w:t>
      </w:r>
      <w:r>
        <w:rPr>
          <w:sz w:val="24"/>
        </w:rPr>
        <w:t>1)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1910" w:h="16840"/>
          <w:pgMar w:top="760" w:bottom="280" w:left="960" w:right="960"/>
        </w:sectPr>
      </w:pPr>
    </w:p>
    <w:p>
      <w:pPr>
        <w:pStyle w:val="Heading1"/>
        <w:numPr>
          <w:ilvl w:val="0"/>
          <w:numId w:val="1"/>
        </w:numPr>
        <w:tabs>
          <w:tab w:pos="5093" w:val="left" w:leader="none"/>
          <w:tab w:pos="5094" w:val="left" w:leader="none"/>
        </w:tabs>
        <w:spacing w:line="240" w:lineRule="auto" w:before="146" w:after="0"/>
        <w:ind w:left="5093" w:right="0" w:hanging="720"/>
        <w:jc w:val="left"/>
      </w:pPr>
      <w:r>
        <w:rPr/>
        <w:t>Odměna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6" w:after="0"/>
        <w:ind w:left="478" w:right="0" w:hanging="361"/>
        <w:jc w:val="left"/>
        <w:rPr>
          <w:sz w:val="24"/>
        </w:rPr>
      </w:pPr>
      <w:r>
        <w:rPr>
          <w:sz w:val="24"/>
        </w:rPr>
        <w:t>Za služby uvedené v článku </w:t>
      </w:r>
      <w:r>
        <w:rPr>
          <w:spacing w:val="-3"/>
          <w:sz w:val="24"/>
        </w:rPr>
        <w:t>I, </w:t>
      </w:r>
      <w:r>
        <w:rPr>
          <w:sz w:val="24"/>
        </w:rPr>
        <w:t>poskytne příjemce poskytovateli odměnu ve výši 5% bez</w:t>
      </w:r>
      <w:r>
        <w:rPr>
          <w:spacing w:val="-6"/>
          <w:sz w:val="24"/>
        </w:rPr>
        <w:t> </w:t>
      </w:r>
      <w:r>
        <w:rPr>
          <w:sz w:val="24"/>
        </w:rPr>
        <w:t>DPH</w:t>
      </w:r>
    </w:p>
    <w:p>
      <w:pPr>
        <w:pStyle w:val="BodyText"/>
        <w:spacing w:line="259" w:lineRule="auto" w:before="22"/>
        <w:ind w:left="478" w:right="208" w:firstLine="0"/>
      </w:pPr>
      <w:r>
        <w:rPr/>
        <w:t>z celkové výše schválené dotace předmětného projektu, tedy 75.406,5 Kč bez DPH, 91.241,9 Kč s DPH. Tato odměna je splatná průběžně v následujících krocích:</w:t>
      </w:r>
    </w:p>
    <w:p>
      <w:pPr>
        <w:pStyle w:val="ListParagraph"/>
        <w:numPr>
          <w:ilvl w:val="1"/>
          <w:numId w:val="3"/>
        </w:numPr>
        <w:tabs>
          <w:tab w:pos="1198" w:val="left" w:leader="none"/>
        </w:tabs>
        <w:spacing w:line="259" w:lineRule="auto" w:before="0" w:after="0"/>
        <w:ind w:left="1198" w:right="447" w:hanging="360"/>
        <w:jc w:val="left"/>
        <w:rPr>
          <w:sz w:val="24"/>
        </w:rPr>
      </w:pPr>
      <w:r>
        <w:rPr>
          <w:sz w:val="24"/>
        </w:rPr>
        <w:t>po obdržení 1. zálohové platby dotace na účet příjemce – 2% z celkové výše schválené dotace, tedy 30.162,6 Kč bez</w:t>
      </w:r>
      <w:r>
        <w:rPr>
          <w:spacing w:val="-4"/>
          <w:sz w:val="24"/>
        </w:rPr>
        <w:t> </w:t>
      </w:r>
      <w:r>
        <w:rPr>
          <w:sz w:val="24"/>
        </w:rPr>
        <w:t>DPH</w:t>
      </w:r>
    </w:p>
    <w:p>
      <w:pPr>
        <w:pStyle w:val="ListParagraph"/>
        <w:numPr>
          <w:ilvl w:val="1"/>
          <w:numId w:val="3"/>
        </w:numPr>
        <w:tabs>
          <w:tab w:pos="1198" w:val="left" w:leader="none"/>
        </w:tabs>
        <w:spacing w:line="261" w:lineRule="auto" w:before="0" w:after="0"/>
        <w:ind w:left="1198" w:right="488" w:hanging="360"/>
        <w:jc w:val="left"/>
        <w:rPr>
          <w:sz w:val="24"/>
        </w:rPr>
      </w:pPr>
      <w:r>
        <w:rPr>
          <w:sz w:val="24"/>
        </w:rPr>
        <w:t>po obdržení 2. zálohové platby dotace na účet příjemce - 2% z celkové výše schválené dotace, 30.162,6 Kč bez</w:t>
      </w:r>
      <w:r>
        <w:rPr>
          <w:spacing w:val="-1"/>
          <w:sz w:val="24"/>
        </w:rPr>
        <w:t> </w:t>
      </w:r>
      <w:r>
        <w:rPr>
          <w:sz w:val="24"/>
        </w:rPr>
        <w:t>DPH</w:t>
      </w:r>
    </w:p>
    <w:p>
      <w:pPr>
        <w:pStyle w:val="ListParagraph"/>
        <w:numPr>
          <w:ilvl w:val="1"/>
          <w:numId w:val="3"/>
        </w:numPr>
        <w:tabs>
          <w:tab w:pos="1198" w:val="left" w:leader="none"/>
        </w:tabs>
        <w:spacing w:line="259" w:lineRule="auto" w:before="0" w:after="0"/>
        <w:ind w:left="1198" w:right="191" w:hanging="360"/>
        <w:jc w:val="left"/>
        <w:rPr>
          <w:sz w:val="24"/>
        </w:rPr>
      </w:pPr>
      <w:r>
        <w:rPr>
          <w:sz w:val="24"/>
        </w:rPr>
        <w:t>k poslednímu dni realizace projektu – 1% z celkové výše schválené dotace, tedy 15.081,3 Kč bez</w:t>
      </w:r>
      <w:r>
        <w:rPr>
          <w:spacing w:val="-2"/>
          <w:sz w:val="24"/>
        </w:rPr>
        <w:t> </w:t>
      </w:r>
      <w:r>
        <w:rPr>
          <w:sz w:val="24"/>
        </w:rPr>
        <w:t>DPH</w:t>
      </w: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59" w:lineRule="auto" w:before="0" w:after="0"/>
        <w:ind w:left="478" w:right="649" w:hanging="361"/>
        <w:jc w:val="left"/>
        <w:rPr>
          <w:sz w:val="24"/>
        </w:rPr>
      </w:pPr>
      <w:r>
        <w:rPr>
          <w:sz w:val="24"/>
        </w:rPr>
        <w:t>Poskytovatel má na odměnu dle bodu 1) tohoto článku nárok pouze v případě, že projektová žádost bude schválena a příjemce obdrží na svůj účet finanční prostředky</w:t>
      </w:r>
      <w:r>
        <w:rPr>
          <w:spacing w:val="-8"/>
          <w:sz w:val="24"/>
        </w:rPr>
        <w:t> </w:t>
      </w:r>
      <w:r>
        <w:rPr>
          <w:sz w:val="24"/>
        </w:rPr>
        <w:t>dotace.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59" w:lineRule="auto" w:before="0" w:after="0"/>
        <w:ind w:left="478" w:right="904" w:hanging="361"/>
        <w:jc w:val="left"/>
        <w:rPr>
          <w:sz w:val="24"/>
        </w:rPr>
      </w:pPr>
      <w:r>
        <w:rPr>
          <w:sz w:val="24"/>
        </w:rPr>
        <w:t>Výše uvedená odměna je konečná a poskytovatel nemá nárok ji jakkoliv navyšovat (např. nárokováním cestovného</w:t>
      </w:r>
      <w:r>
        <w:rPr>
          <w:spacing w:val="0"/>
          <w:sz w:val="24"/>
        </w:rPr>
        <w:t> </w:t>
      </w:r>
      <w:r>
        <w:rPr>
          <w:sz w:val="24"/>
        </w:rPr>
        <w:t>apod.).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59" w:lineRule="auto" w:before="0" w:after="0"/>
        <w:ind w:left="478" w:right="793" w:hanging="361"/>
        <w:jc w:val="left"/>
        <w:rPr>
          <w:sz w:val="24"/>
        </w:rPr>
      </w:pPr>
      <w:r>
        <w:rPr>
          <w:sz w:val="24"/>
        </w:rPr>
        <w:t>Odměna dle bodu 1) tohoto článku bude vyplacena na základě daňového dokladu (faktury) vystaveného</w:t>
      </w:r>
      <w:r>
        <w:rPr>
          <w:spacing w:val="-1"/>
          <w:sz w:val="24"/>
        </w:rPr>
        <w:t> </w:t>
      </w:r>
      <w:r>
        <w:rPr>
          <w:sz w:val="24"/>
        </w:rPr>
        <w:t>poskytovatelem.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773" w:val="left" w:leader="none"/>
          <w:tab w:pos="3774" w:val="left" w:leader="none"/>
        </w:tabs>
        <w:spacing w:line="240" w:lineRule="auto" w:before="0" w:after="0"/>
        <w:ind w:left="3773" w:right="0" w:hanging="720"/>
        <w:jc w:val="left"/>
      </w:pPr>
      <w:r>
        <w:rPr/>
        <w:t>Specifikace závazku</w:t>
      </w:r>
      <w:r>
        <w:rPr>
          <w:spacing w:val="-2"/>
        </w:rPr>
        <w:t> </w:t>
      </w:r>
      <w:r>
        <w:rPr/>
        <w:t>poskytovatele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7" w:after="0"/>
        <w:ind w:left="478" w:right="0" w:hanging="361"/>
        <w:jc w:val="left"/>
        <w:rPr>
          <w:sz w:val="24"/>
        </w:rPr>
      </w:pPr>
      <w:r>
        <w:rPr>
          <w:sz w:val="24"/>
        </w:rPr>
        <w:t>Poskytovatel se zavazuje provést práci v termínu, tedy nejdéle do ukončení příslušné</w:t>
      </w:r>
      <w:r>
        <w:rPr>
          <w:spacing w:val="-14"/>
          <w:sz w:val="24"/>
        </w:rPr>
        <w:t> </w:t>
      </w:r>
      <w:r>
        <w:rPr>
          <w:sz w:val="24"/>
        </w:rPr>
        <w:t>Výzvy.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59" w:lineRule="auto" w:before="0" w:after="0"/>
        <w:ind w:left="478" w:right="208" w:hanging="361"/>
        <w:jc w:val="left"/>
        <w:rPr>
          <w:sz w:val="24"/>
        </w:rPr>
      </w:pPr>
      <w:r>
        <w:rPr>
          <w:sz w:val="24"/>
        </w:rPr>
        <w:t>Poskytovatel se zavazuje v souladu se zájmy příjemce zajistit všechny činnosti uvedené v článku I a to vše za podmínek dále v této smlouvě</w:t>
      </w:r>
      <w:r>
        <w:rPr>
          <w:spacing w:val="-4"/>
          <w:sz w:val="24"/>
        </w:rPr>
        <w:t> </w:t>
      </w:r>
      <w:r>
        <w:rPr>
          <w:sz w:val="24"/>
        </w:rPr>
        <w:t>dohodnutých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59" w:lineRule="auto" w:before="0" w:after="0"/>
        <w:ind w:left="478" w:right="693" w:hanging="361"/>
        <w:jc w:val="left"/>
        <w:rPr>
          <w:sz w:val="24"/>
        </w:rPr>
      </w:pPr>
      <w:r>
        <w:rPr>
          <w:sz w:val="24"/>
        </w:rPr>
        <w:t>Poskytovatel odpovídá za řádné splnění všech závazků z této smlouvy. Případné nedostatky v plnění zjištěné v průběhu plnění je poskytovatel neprodleně odstranit, popřípadě zjednat nápravu závadného</w:t>
      </w:r>
      <w:r>
        <w:rPr>
          <w:spacing w:val="-1"/>
          <w:sz w:val="24"/>
        </w:rPr>
        <w:t> </w:t>
      </w:r>
      <w:r>
        <w:rPr>
          <w:sz w:val="24"/>
        </w:rPr>
        <w:t>stavu.</w:t>
      </w: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020" w:val="left" w:leader="none"/>
          <w:tab w:pos="4021" w:val="left" w:leader="none"/>
        </w:tabs>
        <w:spacing w:line="240" w:lineRule="auto" w:before="0" w:after="0"/>
        <w:ind w:left="4021" w:right="0" w:hanging="720"/>
        <w:jc w:val="left"/>
      </w:pPr>
      <w:r>
        <w:rPr/>
        <w:t>Specifikace závazku</w:t>
      </w:r>
      <w:r>
        <w:rPr>
          <w:spacing w:val="-2"/>
        </w:rPr>
        <w:t> </w:t>
      </w:r>
      <w:r>
        <w:rPr/>
        <w:t>příjemce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7" w:after="0"/>
        <w:ind w:left="478" w:right="110" w:hanging="361"/>
        <w:jc w:val="left"/>
        <w:rPr>
          <w:sz w:val="24"/>
        </w:rPr>
      </w:pPr>
      <w:r>
        <w:rPr>
          <w:sz w:val="24"/>
        </w:rPr>
        <w:t>Příjemce se zavazuje včas hradit poskytovateli veškeré platby, na které mu podle této smlouvy vznikl nárok.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59" w:lineRule="auto" w:before="0" w:after="0"/>
        <w:ind w:left="478" w:right="282" w:hanging="361"/>
        <w:jc w:val="left"/>
        <w:rPr>
          <w:sz w:val="24"/>
        </w:rPr>
      </w:pPr>
      <w:r>
        <w:rPr>
          <w:sz w:val="24"/>
        </w:rPr>
        <w:t>Příjemce se zavazuje umožnit poskytovateli přístup k potřebným materiálům, které má příjemce k dispozici a související s předmětným</w:t>
      </w:r>
      <w:r>
        <w:rPr>
          <w:spacing w:val="-3"/>
          <w:sz w:val="24"/>
        </w:rPr>
        <w:t> </w:t>
      </w:r>
      <w:r>
        <w:rPr>
          <w:sz w:val="24"/>
        </w:rPr>
        <w:t>projektem.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59" w:lineRule="auto" w:before="2" w:after="0"/>
        <w:ind w:left="478" w:right="539" w:hanging="361"/>
        <w:jc w:val="left"/>
        <w:rPr>
          <w:sz w:val="24"/>
        </w:rPr>
      </w:pPr>
      <w:r>
        <w:rPr>
          <w:sz w:val="24"/>
        </w:rPr>
        <w:t>Příjemce se zavazuje poskytovat poskytovateli k plnění této smlouvy náležitou součinnost, tj. zejména jmenovat pověřeného zástupce, včas předávat poskytovateli na jeho žádost veškeré podklady a informace související s předmětným</w:t>
      </w:r>
      <w:r>
        <w:rPr>
          <w:spacing w:val="-4"/>
          <w:sz w:val="24"/>
        </w:rPr>
        <w:t> </w:t>
      </w:r>
      <w:r>
        <w:rPr>
          <w:sz w:val="24"/>
        </w:rPr>
        <w:t>projektem.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59" w:lineRule="auto" w:before="0" w:after="0"/>
        <w:ind w:left="478" w:right="166" w:hanging="361"/>
        <w:jc w:val="left"/>
        <w:rPr>
          <w:sz w:val="24"/>
        </w:rPr>
      </w:pPr>
      <w:r>
        <w:rPr>
          <w:sz w:val="24"/>
        </w:rPr>
        <w:t>Příjemce zajistí poskytovateli včas nutné podklady pro zpracování projektové žádosti a další uvedené přílohy a to zejména povinné přílohy typu IČ, ekonomické informace o žadateli atd., vyžádá-li si to situace. Toto bude dodáno v dostatečném předstihu před termínem odevzdání žádosti tak, aby mohl poskytovatel zapracovat tyto podklady před finálním odevzdáním žádosti o dotaci.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589" w:val="left" w:leader="none"/>
          <w:tab w:pos="4590" w:val="left" w:leader="none"/>
        </w:tabs>
        <w:spacing w:line="240" w:lineRule="auto" w:before="0" w:after="0"/>
        <w:ind w:left="4589" w:right="0" w:hanging="720"/>
        <w:jc w:val="left"/>
      </w:pPr>
      <w:r>
        <w:rPr/>
        <w:t>Ukončení</w:t>
      </w:r>
      <w:r>
        <w:rPr>
          <w:spacing w:val="-1"/>
        </w:rPr>
        <w:t> </w:t>
      </w:r>
      <w:r>
        <w:rPr/>
        <w:t>smlouvy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19" w:after="0"/>
        <w:ind w:left="478" w:right="109" w:hanging="361"/>
        <w:jc w:val="left"/>
        <w:rPr>
          <w:sz w:val="24"/>
        </w:rPr>
      </w:pPr>
      <w:r>
        <w:rPr>
          <w:sz w:val="24"/>
        </w:rPr>
        <w:t>Poskytovatel</w:t>
      </w:r>
      <w:r>
        <w:rPr>
          <w:spacing w:val="-16"/>
          <w:sz w:val="24"/>
        </w:rPr>
        <w:t> </w:t>
      </w:r>
      <w:r>
        <w:rPr>
          <w:sz w:val="24"/>
        </w:rPr>
        <w:t>má</w:t>
      </w:r>
      <w:r>
        <w:rPr>
          <w:spacing w:val="-16"/>
          <w:sz w:val="24"/>
        </w:rPr>
        <w:t> </w:t>
      </w:r>
      <w:r>
        <w:rPr>
          <w:sz w:val="24"/>
        </w:rPr>
        <w:t>právo</w:t>
      </w:r>
      <w:r>
        <w:rPr>
          <w:spacing w:val="-16"/>
          <w:sz w:val="24"/>
        </w:rPr>
        <w:t> </w:t>
      </w:r>
      <w:r>
        <w:rPr>
          <w:sz w:val="24"/>
        </w:rPr>
        <w:t>odstoupit</w:t>
      </w:r>
      <w:r>
        <w:rPr>
          <w:spacing w:val="-14"/>
          <w:sz w:val="24"/>
        </w:rPr>
        <w:t> </w:t>
      </w:r>
      <w:r>
        <w:rPr>
          <w:sz w:val="24"/>
        </w:rPr>
        <w:t>od</w:t>
      </w:r>
      <w:r>
        <w:rPr>
          <w:spacing w:val="-16"/>
          <w:sz w:val="24"/>
        </w:rPr>
        <w:t> </w:t>
      </w:r>
      <w:r>
        <w:rPr>
          <w:sz w:val="24"/>
        </w:rPr>
        <w:t>smlouvy</w:t>
      </w:r>
      <w:r>
        <w:rPr>
          <w:spacing w:val="-21"/>
          <w:sz w:val="24"/>
        </w:rPr>
        <w:t> </w:t>
      </w:r>
      <w:r>
        <w:rPr>
          <w:sz w:val="24"/>
        </w:rPr>
        <w:t>v</w:t>
      </w:r>
      <w:r>
        <w:rPr>
          <w:spacing w:val="0"/>
          <w:sz w:val="24"/>
        </w:rPr>
        <w:t> </w:t>
      </w:r>
      <w:r>
        <w:rPr>
          <w:sz w:val="24"/>
        </w:rPr>
        <w:t>případě,</w:t>
      </w:r>
      <w:r>
        <w:rPr>
          <w:spacing w:val="-16"/>
          <w:sz w:val="24"/>
        </w:rPr>
        <w:t> </w:t>
      </w:r>
      <w:r>
        <w:rPr>
          <w:sz w:val="24"/>
        </w:rPr>
        <w:t>že</w:t>
      </w:r>
      <w:r>
        <w:rPr>
          <w:spacing w:val="-17"/>
          <w:sz w:val="24"/>
        </w:rPr>
        <w:t> </w:t>
      </w:r>
      <w:r>
        <w:rPr>
          <w:sz w:val="24"/>
        </w:rPr>
        <w:t>příjemce</w:t>
      </w:r>
      <w:r>
        <w:rPr>
          <w:spacing w:val="-17"/>
          <w:sz w:val="24"/>
        </w:rPr>
        <w:t> </w:t>
      </w:r>
      <w:r>
        <w:rPr>
          <w:sz w:val="24"/>
        </w:rPr>
        <w:t>je</w:t>
      </w:r>
      <w:r>
        <w:rPr>
          <w:spacing w:val="-13"/>
          <w:sz w:val="24"/>
        </w:rPr>
        <w:t> </w:t>
      </w:r>
      <w:r>
        <w:rPr>
          <w:sz w:val="24"/>
        </w:rPr>
        <w:t>v prodlení</w:t>
      </w:r>
      <w:r>
        <w:rPr>
          <w:spacing w:val="-16"/>
          <w:sz w:val="24"/>
        </w:rPr>
        <w:t> </w:t>
      </w:r>
      <w:r>
        <w:rPr>
          <w:sz w:val="24"/>
        </w:rPr>
        <w:t>s úhradou</w:t>
      </w:r>
      <w:r>
        <w:rPr>
          <w:spacing w:val="-16"/>
          <w:sz w:val="24"/>
        </w:rPr>
        <w:t> </w:t>
      </w:r>
      <w:r>
        <w:rPr>
          <w:sz w:val="24"/>
        </w:rPr>
        <w:t>faktury delším než 15 pracovních dní od splatnosti</w:t>
      </w:r>
      <w:r>
        <w:rPr>
          <w:spacing w:val="-1"/>
          <w:sz w:val="24"/>
        </w:rPr>
        <w:t> </w:t>
      </w:r>
      <w:r>
        <w:rPr>
          <w:sz w:val="24"/>
        </w:rPr>
        <w:t>faktury.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37" w:lineRule="auto" w:before="2" w:after="0"/>
        <w:ind w:left="478" w:right="115" w:hanging="361"/>
        <w:jc w:val="left"/>
        <w:rPr>
          <w:sz w:val="24"/>
        </w:rPr>
      </w:pPr>
      <w:r>
        <w:rPr>
          <w:sz w:val="24"/>
        </w:rPr>
        <w:t>Příjemce má právo odstoupit od smlouvy, pokud Poskytovatel neplní řádně a včas své povinnosti vyplývající pro něj z této</w:t>
      </w:r>
      <w:r>
        <w:rPr>
          <w:spacing w:val="0"/>
          <w:sz w:val="24"/>
        </w:rPr>
        <w:t> </w:t>
      </w:r>
      <w:r>
        <w:rPr>
          <w:sz w:val="24"/>
        </w:rPr>
        <w:t>smlouvy.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580" w:bottom="280" w:left="960" w:right="960"/>
        </w:sectPr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68" w:after="0"/>
        <w:ind w:left="478" w:right="113" w:hanging="361"/>
        <w:jc w:val="both"/>
        <w:rPr>
          <w:sz w:val="24"/>
        </w:rPr>
      </w:pPr>
      <w:r>
        <w:rPr>
          <w:sz w:val="24"/>
        </w:rPr>
        <w:t>Poskytovatel i příjemce jsou oprávněni vypovědět smlouvu i bez uvedení důvodu po uhrazení kompenzace druhé smluvní straně ve výši 50% z celkové odměny uvedené v článku II. této smlouvy.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4556" w:val="left" w:leader="none"/>
          <w:tab w:pos="4557" w:val="left" w:leader="none"/>
        </w:tabs>
        <w:spacing w:line="274" w:lineRule="exact" w:before="0" w:after="0"/>
        <w:ind w:left="4556" w:right="0" w:hanging="720"/>
        <w:jc w:val="left"/>
      </w:pPr>
      <w:r>
        <w:rPr/>
        <w:t>Obecná</w:t>
      </w:r>
      <w:r>
        <w:rPr>
          <w:spacing w:val="-1"/>
        </w:rPr>
        <w:t> </w:t>
      </w:r>
      <w:r>
        <w:rPr/>
        <w:t>ustanovení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21" w:hanging="361"/>
        <w:jc w:val="both"/>
        <w:rPr>
          <w:sz w:val="24"/>
        </w:rPr>
      </w:pPr>
      <w:r>
        <w:rPr>
          <w:sz w:val="24"/>
        </w:rPr>
        <w:t>Doplňky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změny</w:t>
      </w:r>
      <w:r>
        <w:rPr>
          <w:spacing w:val="-9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</w:t>
      </w:r>
      <w:r>
        <w:rPr>
          <w:spacing w:val="-9"/>
          <w:sz w:val="24"/>
        </w:rPr>
        <w:t> </w:t>
      </w:r>
      <w:r>
        <w:rPr>
          <w:sz w:val="24"/>
        </w:rPr>
        <w:t>musí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z w:val="24"/>
        </w:rPr>
        <w:t>učiněny</w:t>
      </w:r>
      <w:r>
        <w:rPr>
          <w:spacing w:val="-6"/>
          <w:sz w:val="24"/>
        </w:rPr>
        <w:t> </w:t>
      </w:r>
      <w:r>
        <w:rPr>
          <w:sz w:val="24"/>
        </w:rPr>
        <w:t>písemně</w:t>
      </w:r>
      <w:r>
        <w:rPr>
          <w:spacing w:val="-5"/>
          <w:sz w:val="24"/>
        </w:rPr>
        <w:t> </w:t>
      </w:r>
      <w:r>
        <w:rPr>
          <w:sz w:val="24"/>
        </w:rPr>
        <w:t>formou</w:t>
      </w:r>
      <w:r>
        <w:rPr>
          <w:spacing w:val="-4"/>
          <w:sz w:val="24"/>
        </w:rPr>
        <w:t> </w:t>
      </w:r>
      <w:r>
        <w:rPr>
          <w:sz w:val="24"/>
        </w:rPr>
        <w:t>vzestupně</w:t>
      </w:r>
      <w:r>
        <w:rPr>
          <w:spacing w:val="-5"/>
          <w:sz w:val="24"/>
        </w:rPr>
        <w:t> </w:t>
      </w:r>
      <w:r>
        <w:rPr>
          <w:sz w:val="24"/>
        </w:rPr>
        <w:t>číslovaných</w:t>
      </w:r>
      <w:r>
        <w:rPr>
          <w:spacing w:val="-2"/>
          <w:sz w:val="24"/>
        </w:rPr>
        <w:t> </w:t>
      </w:r>
      <w:r>
        <w:rPr>
          <w:sz w:val="24"/>
        </w:rPr>
        <w:t>dodatků a podepsány oběma smluvními</w:t>
      </w:r>
      <w:r>
        <w:rPr>
          <w:spacing w:val="-7"/>
          <w:sz w:val="24"/>
        </w:rPr>
        <w:t> </w:t>
      </w:r>
      <w:r>
        <w:rPr>
          <w:sz w:val="24"/>
        </w:rPr>
        <w:t>stranami.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37" w:lineRule="auto" w:before="0" w:after="0"/>
        <w:ind w:left="478" w:right="122" w:hanging="361"/>
        <w:jc w:val="both"/>
        <w:rPr>
          <w:sz w:val="24"/>
        </w:rPr>
      </w:pPr>
      <w:r>
        <w:rPr>
          <w:sz w:val="24"/>
        </w:rPr>
        <w:t>Tato Smlouva je vyhotovena ve dvou stejnopisech s platností originálu, po jednom pro každou ze smluvních</w:t>
      </w:r>
      <w:r>
        <w:rPr>
          <w:spacing w:val="-1"/>
          <w:sz w:val="24"/>
        </w:rPr>
        <w:t> </w:t>
      </w:r>
      <w:r>
        <w:rPr>
          <w:sz w:val="24"/>
        </w:rPr>
        <w:t>stran.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9" w:hanging="361"/>
        <w:jc w:val="both"/>
        <w:rPr>
          <w:sz w:val="24"/>
        </w:rPr>
      </w:pPr>
      <w:r>
        <w:rPr>
          <w:sz w:val="24"/>
        </w:rPr>
        <w:t>Tato Smlouva je uzavírána na základě pravé a svobodné vůle smluvních stran, určitě a srozumitelně, nikoliv v tísni.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12" w:hanging="361"/>
        <w:jc w:val="both"/>
        <w:rPr>
          <w:sz w:val="24"/>
        </w:rPr>
      </w:pPr>
      <w:r>
        <w:rPr>
          <w:sz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</w:t>
      </w:r>
      <w:r>
        <w:rPr>
          <w:spacing w:val="-6"/>
          <w:sz w:val="24"/>
        </w:rPr>
        <w:t> </w:t>
      </w:r>
      <w:r>
        <w:rPr>
          <w:sz w:val="24"/>
        </w:rPr>
        <w:t>předpisy</w:t>
      </w:r>
      <w:r>
        <w:rPr>
          <w:spacing w:val="-11"/>
          <w:sz w:val="24"/>
        </w:rPr>
        <w:t> </w:t>
      </w:r>
      <w:r>
        <w:rPr>
          <w:sz w:val="24"/>
        </w:rPr>
        <w:t>ČR.</w:t>
      </w:r>
      <w:r>
        <w:rPr>
          <w:spacing w:val="-6"/>
          <w:sz w:val="24"/>
        </w:rPr>
        <w:t> </w:t>
      </w:r>
      <w:r>
        <w:rPr>
          <w:sz w:val="24"/>
        </w:rPr>
        <w:t>Ve</w:t>
      </w:r>
      <w:r>
        <w:rPr>
          <w:spacing w:val="-7"/>
          <w:sz w:val="24"/>
        </w:rPr>
        <w:t> </w:t>
      </w:r>
      <w:r>
        <w:rPr>
          <w:sz w:val="24"/>
        </w:rPr>
        <w:t>smlouvách</w:t>
      </w:r>
      <w:r>
        <w:rPr>
          <w:spacing w:val="-6"/>
          <w:sz w:val="24"/>
        </w:rPr>
        <w:t> </w:t>
      </w:r>
      <w:r>
        <w:rPr>
          <w:sz w:val="24"/>
        </w:rPr>
        <w:t>uzavíraných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6"/>
          <w:sz w:val="24"/>
        </w:rPr>
        <w:t> </w:t>
      </w:r>
      <w:r>
        <w:rPr>
          <w:sz w:val="24"/>
        </w:rPr>
        <w:t>případnými</w:t>
      </w:r>
      <w:r>
        <w:rPr>
          <w:spacing w:val="-6"/>
          <w:sz w:val="24"/>
        </w:rPr>
        <w:t> </w:t>
      </w:r>
      <w:r>
        <w:rPr>
          <w:sz w:val="24"/>
        </w:rPr>
        <w:t>partnery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subdodavateli</w:t>
      </w:r>
      <w:r>
        <w:rPr>
          <w:spacing w:val="-6"/>
          <w:sz w:val="24"/>
        </w:rPr>
        <w:t> </w:t>
      </w:r>
      <w:r>
        <w:rPr>
          <w:sz w:val="24"/>
        </w:rPr>
        <w:t>uchazeč zaváže touto povinností i případné partnery a subdodavatele. Uchazeč je dále povinen uchovávat účetní záznamy vztahující se k předmětu plnění v elektronické</w:t>
      </w:r>
      <w:r>
        <w:rPr>
          <w:spacing w:val="-7"/>
          <w:sz w:val="24"/>
        </w:rPr>
        <w:t> </w:t>
      </w:r>
      <w:r>
        <w:rPr>
          <w:sz w:val="24"/>
        </w:rPr>
        <w:t>podobě.</w:t>
      </w: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0" w:hanging="361"/>
        <w:jc w:val="both"/>
        <w:rPr>
          <w:sz w:val="24"/>
        </w:rPr>
      </w:pPr>
      <w:r>
        <w:rPr>
          <w:sz w:val="24"/>
        </w:rPr>
        <w:t>Smluvní strany prohlašují, že skutečnosti uvedené ve smlouvě i jejich dodatcích nepovažují za obchodní tajemství a udělují svolení k jejich užití a zveřejnění bez stanovení jakýchkoliv dalších podmínek. Poskytovatel zároveň uděluje svůj výslovný souhlas Příjemci se zveřejněním uzavřené smlouvy včetně jejich</w:t>
      </w:r>
      <w:r>
        <w:rPr>
          <w:spacing w:val="-6"/>
          <w:sz w:val="24"/>
        </w:rPr>
        <w:t> </w:t>
      </w:r>
      <w:r>
        <w:rPr>
          <w:sz w:val="24"/>
        </w:rPr>
        <w:t>dodatků.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2"/>
        </w:rPr>
      </w:pPr>
    </w:p>
    <w:p>
      <w:pPr>
        <w:spacing w:before="102"/>
        <w:ind w:left="0" w:right="998" w:firstLine="0"/>
        <w:jc w:val="right"/>
        <w:rPr>
          <w:rFonts w:ascii="Arial" w:hAnsi="Arial"/>
          <w:sz w:val="16"/>
        </w:rPr>
      </w:pPr>
      <w:r>
        <w:rPr/>
        <w:pict>
          <v:shape style="position:absolute;margin-left:386.099976pt;margin-top:6.074152pt;width:38.2pt;height:37.950pt;mso-position-horizontal-relative:page;mso-position-vertical-relative:paragraph;z-index:0" coordorigin="7722,121" coordsize="764,759" path="m7860,720l7793,763,7751,805,7729,841,7722,867,7722,880,7780,880,7785,878,7737,878,7744,850,7768,810,7808,765,7860,720xm8049,121l8033,132,8026,155,8023,182,8022,201,8023,218,8024,237,8027,256,8030,276,8034,297,8038,318,8043,339,8049,360,8040,395,8015,459,7979,543,7934,635,7884,726,7832,803,7782,858,7737,878,7785,878,7787,877,7828,842,7877,780,7934,689,7942,686,7934,686,7990,585,8026,508,8049,449,8063,403,8090,403,8073,358,8078,318,8063,318,8054,284,8048,251,8044,220,8043,192,8044,181,8045,161,8050,140,8060,126,8079,126,8069,122,8049,121xm8478,685l8456,685,8448,692,8448,713,8456,721,8478,721,8482,717,8459,717,8452,711,8452,695,8459,689,8482,689,8478,685xm8482,689l8476,689,8481,695,8481,711,8476,717,8482,717,8486,713,8486,692,8482,689xm8472,691l8459,691,8459,713,8463,713,8463,705,8473,705,8473,704,8470,703,8475,702,8463,702,8463,696,8474,696,8474,694,8472,691xm8473,705l8468,705,8470,707,8470,710,8471,713,8475,713,8474,710,8474,706,8473,705xm8474,696l8469,696,8470,696,8470,701,8468,702,8475,702,8475,699,8474,696xm8090,403l8063,403,8105,487,8148,545,8189,581,8222,603,8152,617,8079,635,8006,658,7934,686,7942,686,8007,666,8087,648,8169,633,8251,622,8309,622,8297,617,8350,615,8470,615,8450,604,8421,598,8263,598,8245,587,8227,576,8209,565,8193,552,8154,513,8121,466,8094,413,8090,403xm8309,622l8251,622,8302,645,8352,663,8399,674,8438,678,8454,677,8466,673,8474,668,8475,665,8454,665,8423,662,8385,652,8342,637,8309,622xm8478,660l8473,662,8464,665,8475,665,8478,660xm8470,615l8350,615,8411,616,8461,627,8481,651,8484,646,8486,643,8486,638,8476,618,8470,615xm8356,592l8335,593,8312,594,8263,598,8421,598,8409,595,8356,592xm8086,185l8082,208,8077,238,8071,274,8063,318,8078,318,8079,313,8083,270,8085,228,8086,185xm8079,126l8060,126,8068,131,8076,140,8082,153,8086,171,8089,142,8083,128,8079,126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424004pt;margin-top:-19.108465pt;width:379.2pt;height:104.9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2"/>
                    <w:gridCol w:w="3792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3792" w:type="dxa"/>
                      </w:tcPr>
                      <w:p>
                        <w:pPr>
                          <w:pStyle w:val="TableParagraph"/>
                          <w:tabs>
                            <w:tab w:pos="2429" w:val="left" w:leader="none"/>
                          </w:tabs>
                          <w:spacing w:line="266" w:lineRule="exact"/>
                          <w:ind w:left="9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Praze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dne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396" w:lineRule="auto"/>
                          <w:ind w:left="200" w:right="7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 Veronika Schovánková</w:t>
                        </w:r>
                      </w:p>
                      <w:p>
                        <w:pPr>
                          <w:pStyle w:val="TableParagraph"/>
                          <w:spacing w:line="256" w:lineRule="exact" w:before="4"/>
                          <w:ind w:left="200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Typeco spol. s r.o.</w:t>
                        </w:r>
                      </w:p>
                    </w:tc>
                    <w:tc>
                      <w:tcPr>
                        <w:tcW w:w="3792" w:type="dxa"/>
                      </w:tcPr>
                      <w:p>
                        <w:pPr>
                          <w:pStyle w:val="TableParagraph"/>
                          <w:tabs>
                            <w:tab w:pos="2090" w:val="left" w:leader="none"/>
                          </w:tabs>
                          <w:spacing w:line="266" w:lineRule="exact"/>
                          <w:ind w:left="5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Praze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dne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line="179" w:lineRule="exact" w:before="218"/>
                          <w:ind w:right="45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16"/>
                          </w:rPr>
                          <w:t>Digitálně pode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right="62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33"/>
                          </w:rPr>
                          <w:t>Mgr. Jiří Voneš</w:t>
                        </w:r>
                        <w:r>
                          <w:rPr>
                            <w:rFonts w:ascii="Arial" w:hAnsi="Arial"/>
                            <w:spacing w:val="-53"/>
                            <w:w w:val="95"/>
                            <w:sz w:val="33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position w:val="14"/>
                            <w:sz w:val="16"/>
                          </w:rPr>
                          <w:t>Voneš</w:t>
                        </w:r>
                      </w:p>
                      <w:p>
                        <w:pPr>
                          <w:pStyle w:val="TableParagraph"/>
                          <w:spacing w:line="72" w:lineRule="auto"/>
                          <w:ind w:right="-15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……………………</w:t>
                        </w:r>
                        <w:r>
                          <w:rPr>
                            <w:spacing w:val="-111"/>
                            <w:position w:val="-10"/>
                            <w:sz w:val="24"/>
                          </w:rPr>
                          <w:t>…</w:t>
                        </w:r>
                        <w:r>
                          <w:rPr>
                            <w:rFonts w:ascii="Arial" w:hAnsi="Arial"/>
                            <w:w w:val="91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72"/>
                            <w:w w:val="86"/>
                            <w:sz w:val="16"/>
                          </w:rPr>
                          <w:t>a</w:t>
                        </w:r>
                        <w:r>
                          <w:rPr>
                            <w:spacing w:val="-169"/>
                            <w:position w:val="-10"/>
                            <w:sz w:val="24"/>
                          </w:rPr>
                          <w:t>…</w:t>
                        </w:r>
                        <w:r>
                          <w:rPr>
                            <w:rFonts w:ascii="Arial" w:hAnsi="Arial"/>
                            <w:w w:val="104"/>
                            <w:sz w:val="16"/>
                          </w:rPr>
                          <w:t>tu</w:t>
                        </w:r>
                        <w:r>
                          <w:rPr>
                            <w:rFonts w:ascii="Arial" w:hAnsi="Arial"/>
                            <w:spacing w:val="-104"/>
                            <w:w w:val="99"/>
                            <w:sz w:val="16"/>
                          </w:rPr>
                          <w:t>m</w:t>
                        </w:r>
                        <w:r>
                          <w:rPr>
                            <w:spacing w:val="-137"/>
                            <w:position w:val="-10"/>
                            <w:sz w:val="24"/>
                          </w:rPr>
                          <w:t>…</w:t>
                        </w:r>
                        <w:r>
                          <w:rPr>
                            <w:rFonts w:ascii="Arial" w:hAnsi="Arial"/>
                            <w:w w:val="73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91"/>
                            <w:sz w:val="16"/>
                          </w:rPr>
                          <w:t>2</w:t>
                        </w:r>
                        <w:r>
                          <w:rPr>
                            <w:spacing w:val="-229"/>
                            <w:position w:val="-10"/>
                            <w:sz w:val="24"/>
                          </w:rPr>
                          <w:t>…</w:t>
                        </w:r>
                        <w:r>
                          <w:rPr>
                            <w:rFonts w:ascii="Arial" w:hAnsi="Arial"/>
                            <w:w w:val="89"/>
                            <w:sz w:val="16"/>
                          </w:rPr>
                          <w:t>017.11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right="54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6"/>
                          </w:rPr>
                          <w:t>+01'00'</w:t>
                        </w:r>
                      </w:p>
                      <w:p>
                        <w:pPr>
                          <w:pStyle w:val="TableParagraph"/>
                          <w:spacing w:before="114"/>
                          <w:ind w:left="1278" w:right="747" w:firstLine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Mgr. Jiří Voneš Za Základní školu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w w:val="95"/>
          <w:sz w:val="16"/>
        </w:rPr>
        <w:t>psal Mgr. Jiří</w:t>
      </w:r>
    </w:p>
    <w:p>
      <w:pPr>
        <w:pStyle w:val="BodyText"/>
        <w:spacing w:before="8"/>
        <w:ind w:left="0" w:firstLine="0"/>
        <w:rPr>
          <w:rFonts w:ascii="Arial"/>
          <w:sz w:val="17"/>
        </w:rPr>
      </w:pPr>
    </w:p>
    <w:p>
      <w:pPr>
        <w:spacing w:before="0"/>
        <w:ind w:left="0" w:right="976" w:firstLine="0"/>
        <w:jc w:val="right"/>
        <w:rPr>
          <w:rFonts w:ascii="Arial"/>
          <w:sz w:val="16"/>
        </w:rPr>
      </w:pPr>
      <w:r>
        <w:rPr>
          <w:rFonts w:ascii="Arial"/>
          <w:w w:val="90"/>
          <w:sz w:val="16"/>
        </w:rPr>
        <w:t>.29 14:55:14</w:t>
      </w:r>
    </w:p>
    <w:p>
      <w:pPr>
        <w:spacing w:after="0"/>
        <w:jc w:val="right"/>
        <w:rPr>
          <w:rFonts w:ascii="Arial"/>
          <w:sz w:val="16"/>
        </w:rPr>
        <w:sectPr>
          <w:pgSz w:w="11910" w:h="16840"/>
          <w:pgMar w:top="760" w:bottom="280" w:left="960" w:right="960"/>
        </w:sectPr>
      </w:pPr>
    </w:p>
    <w:p>
      <w:pPr>
        <w:pStyle w:val="BodyText"/>
        <w:ind w:left="0" w:firstLine="0"/>
        <w:rPr>
          <w:rFonts w:ascii="Arial"/>
          <w:sz w:val="20"/>
        </w:rPr>
      </w:pPr>
    </w:p>
    <w:p>
      <w:pPr>
        <w:pStyle w:val="BodyText"/>
        <w:spacing w:before="10"/>
        <w:ind w:left="0" w:firstLine="0"/>
        <w:rPr>
          <w:rFonts w:ascii="Arial"/>
          <w:sz w:val="26"/>
        </w:rPr>
      </w:pPr>
    </w:p>
    <w:p>
      <w:pPr>
        <w:spacing w:before="85"/>
        <w:ind w:left="3164" w:right="1089" w:hanging="2063"/>
        <w:jc w:val="left"/>
        <w:rPr>
          <w:b/>
          <w:sz w:val="36"/>
        </w:rPr>
      </w:pPr>
      <w:r>
        <w:rPr>
          <w:b/>
          <w:color w:val="373737"/>
          <w:sz w:val="36"/>
        </w:rPr>
        <w:t>Příloha č. 1 Podrobná specifikace aktivit ve vztahu k administraci projektu</w:t>
      </w:r>
    </w:p>
    <w:p>
      <w:pPr>
        <w:pStyle w:val="BodyText"/>
        <w:ind w:left="0" w:firstLine="0"/>
        <w:rPr>
          <w:b/>
          <w:sz w:val="41"/>
        </w:rPr>
      </w:pPr>
    </w:p>
    <w:p>
      <w:pPr>
        <w:pStyle w:val="Heading2"/>
        <w:numPr>
          <w:ilvl w:val="1"/>
          <w:numId w:val="7"/>
        </w:numPr>
        <w:tabs>
          <w:tab w:pos="839" w:val="left" w:leader="none"/>
        </w:tabs>
        <w:spacing w:line="381" w:lineRule="exact" w:before="0" w:after="0"/>
        <w:ind w:left="838" w:right="0" w:hanging="360"/>
        <w:jc w:val="left"/>
        <w:rPr>
          <w:rFonts w:ascii="Times New Roman" w:hAnsi="Times New Roman"/>
        </w:rPr>
      </w:pPr>
      <w:r>
        <w:rPr/>
        <w:t>nastavení vnitřních procesů administrace a monitoringu</w:t>
      </w:r>
      <w:r>
        <w:rPr>
          <w:spacing w:val="-4"/>
        </w:rPr>
        <w:t> </w:t>
      </w:r>
      <w:r>
        <w:rPr/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8" w:lineRule="exact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zaškolení a průběžná komunikace s odpovědnými pracovníky (účetní,</w:t>
      </w:r>
      <w:r>
        <w:rPr>
          <w:spacing w:val="-11"/>
          <w:sz w:val="24"/>
        </w:rPr>
        <w:t> </w:t>
      </w:r>
      <w:r>
        <w:rPr>
          <w:sz w:val="24"/>
        </w:rPr>
        <w:t>projektový</w:t>
      </w:r>
    </w:p>
    <w:p>
      <w:pPr>
        <w:pStyle w:val="BodyText"/>
        <w:ind w:firstLine="0"/>
      </w:pPr>
      <w:r>
        <w:rPr/>
        <w:t>manažer apod.)</w:t>
      </w:r>
    </w:p>
    <w:p>
      <w:pPr>
        <w:pStyle w:val="Heading2"/>
        <w:numPr>
          <w:ilvl w:val="1"/>
          <w:numId w:val="7"/>
        </w:numPr>
        <w:tabs>
          <w:tab w:pos="839" w:val="left" w:leader="none"/>
        </w:tabs>
        <w:spacing w:line="381" w:lineRule="exact" w:before="199" w:after="0"/>
        <w:ind w:left="838" w:right="0" w:hanging="360"/>
        <w:jc w:val="left"/>
      </w:pPr>
      <w:r>
        <w:rPr/>
        <w:t>vedení projektu a konzultační činnost k realizaci a řízení</w:t>
      </w:r>
      <w:r>
        <w:rPr>
          <w:spacing w:val="-4"/>
        </w:rPr>
        <w:t> </w:t>
      </w:r>
      <w:r>
        <w:rPr/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8" w:lineRule="exact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vypracování metodik: metodika monitorovacích indikátorů, metodika řízení</w:t>
      </w:r>
      <w:r>
        <w:rPr>
          <w:spacing w:val="-6"/>
          <w:sz w:val="24"/>
        </w:rPr>
        <w:t> </w:t>
      </w:r>
      <w:r>
        <w:rPr>
          <w:sz w:val="24"/>
        </w:rPr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příprava Dohod o účasti v projektu pro účastníky aktivit v rámci</w:t>
      </w:r>
      <w:r>
        <w:rPr>
          <w:spacing w:val="-8"/>
          <w:sz w:val="24"/>
        </w:rPr>
        <w:t> </w:t>
      </w:r>
      <w:r>
        <w:rPr>
          <w:sz w:val="24"/>
        </w:rPr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1" w:after="0"/>
        <w:ind w:left="1558" w:right="0" w:hanging="360"/>
        <w:jc w:val="left"/>
        <w:rPr>
          <w:sz w:val="24"/>
        </w:rPr>
      </w:pPr>
      <w:r>
        <w:rPr>
          <w:sz w:val="24"/>
        </w:rPr>
        <w:t>příprava k dotazníkům k monitorovacím</w:t>
      </w:r>
      <w:r>
        <w:rPr>
          <w:spacing w:val="-2"/>
          <w:sz w:val="24"/>
        </w:rPr>
        <w:t> </w:t>
      </w:r>
      <w:r>
        <w:rPr>
          <w:sz w:val="24"/>
        </w:rPr>
        <w:t>indikátorům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898" w:hanging="360"/>
        <w:jc w:val="left"/>
        <w:rPr>
          <w:sz w:val="24"/>
        </w:rPr>
      </w:pPr>
      <w:r>
        <w:rPr>
          <w:sz w:val="24"/>
        </w:rPr>
        <w:t>měsíční sledování plnění monitorovacích indikátorů (zpracování monitorovací tabulky, průběžné</w:t>
      </w:r>
      <w:r>
        <w:rPr>
          <w:spacing w:val="-2"/>
          <w:sz w:val="24"/>
        </w:rPr>
        <w:t> </w:t>
      </w:r>
      <w:r>
        <w:rPr>
          <w:sz w:val="24"/>
        </w:rPr>
        <w:t>vyhodnocování)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měsíční kontrola výkazů práce realizačního týmu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780" w:hanging="360"/>
        <w:jc w:val="left"/>
        <w:rPr>
          <w:sz w:val="24"/>
        </w:rPr>
      </w:pPr>
      <w:r>
        <w:rPr>
          <w:sz w:val="24"/>
        </w:rPr>
        <w:t>sledování čerpání finančních prostředků dle rozpočtu projektu a</w:t>
      </w:r>
      <w:r>
        <w:rPr>
          <w:spacing w:val="-17"/>
          <w:sz w:val="24"/>
        </w:rPr>
        <w:t> </w:t>
      </w:r>
      <w:r>
        <w:rPr>
          <w:sz w:val="24"/>
        </w:rPr>
        <w:t>harmonogramu 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sledování uznatelnosti výdajů</w:t>
      </w:r>
      <w:r>
        <w:rPr>
          <w:spacing w:val="-1"/>
          <w:sz w:val="24"/>
        </w:rPr>
        <w:t> </w:t>
      </w:r>
      <w:r>
        <w:rPr>
          <w:sz w:val="24"/>
        </w:rPr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sledování příjmů projektu (pokud projekt příjmy</w:t>
      </w:r>
      <w:r>
        <w:rPr>
          <w:spacing w:val="-5"/>
          <w:sz w:val="24"/>
        </w:rPr>
        <w:t> </w:t>
      </w:r>
      <w:r>
        <w:rPr>
          <w:sz w:val="24"/>
        </w:rPr>
        <w:t>generuje)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příprava podkladů pro publicitu</w:t>
      </w:r>
      <w:r>
        <w:rPr>
          <w:spacing w:val="-2"/>
          <w:sz w:val="24"/>
        </w:rPr>
        <w:t> </w:t>
      </w:r>
      <w:r>
        <w:rPr>
          <w:sz w:val="24"/>
        </w:rPr>
        <w:t>projektu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příprava podkladů k případným podstatným i nepodstatným změnám</w:t>
      </w:r>
      <w:r>
        <w:rPr>
          <w:spacing w:val="-5"/>
          <w:sz w:val="24"/>
        </w:rPr>
        <w:t> </w:t>
      </w:r>
      <w:r>
        <w:rPr>
          <w:sz w:val="24"/>
        </w:rPr>
        <w:t>projektu,</w:t>
      </w:r>
    </w:p>
    <w:p>
      <w:pPr>
        <w:pStyle w:val="BodyText"/>
        <w:ind w:right="321" w:firstLine="0"/>
      </w:pPr>
      <w:r>
        <w:rPr/>
        <w:t>změnám harmonogramu projektu a rozpočtu projektu a jejich konzultace se zástupci poskytovatele podpory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122" w:hanging="360"/>
        <w:jc w:val="left"/>
        <w:rPr>
          <w:sz w:val="24"/>
        </w:rPr>
      </w:pPr>
      <w:r>
        <w:rPr>
          <w:sz w:val="24"/>
        </w:rPr>
        <w:t>zajištění komunikace s poskytovatelem podpory (konzultace se zástupci poskytovatele podpory)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1" w:after="0"/>
        <w:ind w:left="1558" w:right="811" w:hanging="360"/>
        <w:jc w:val="left"/>
        <w:rPr>
          <w:sz w:val="24"/>
        </w:rPr>
      </w:pPr>
      <w:r>
        <w:rPr>
          <w:sz w:val="24"/>
        </w:rPr>
        <w:t>příprava podkladů pro případnou kontrolu tzv. pověřených osob (poskytovatele podpory, Řídícího orgánu, NKU, FÚ, Evropské komise</w:t>
      </w:r>
      <w:r>
        <w:rPr>
          <w:spacing w:val="-7"/>
          <w:sz w:val="24"/>
        </w:rPr>
        <w:t> </w:t>
      </w:r>
      <w:r>
        <w:rPr>
          <w:sz w:val="24"/>
        </w:rPr>
        <w:t>atd.)</w:t>
      </w:r>
    </w:p>
    <w:p>
      <w:pPr>
        <w:pStyle w:val="Heading2"/>
        <w:numPr>
          <w:ilvl w:val="1"/>
          <w:numId w:val="7"/>
        </w:numPr>
        <w:tabs>
          <w:tab w:pos="839" w:val="left" w:leader="none"/>
        </w:tabs>
        <w:spacing w:line="381" w:lineRule="exact" w:before="199" w:after="0"/>
        <w:ind w:left="838" w:right="0" w:hanging="360"/>
        <w:jc w:val="left"/>
      </w:pPr>
      <w:r>
        <w:rPr/>
        <w:t>monitoring</w:t>
      </w:r>
      <w:r>
        <w:rPr>
          <w:spacing w:val="-1"/>
        </w:rPr>
        <w:t> </w:t>
      </w:r>
      <w:r>
        <w:rPr/>
        <w:t>projektu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8" w:lineRule="exact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Zpracování 1 části monitorovací</w:t>
      </w:r>
      <w:r>
        <w:rPr>
          <w:spacing w:val="-1"/>
          <w:sz w:val="24"/>
        </w:rPr>
        <w:t> </w:t>
      </w:r>
      <w:r>
        <w:rPr>
          <w:sz w:val="24"/>
        </w:rPr>
        <w:t>zprávy: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308"/>
        <w:jc w:val="left"/>
        <w:rPr>
          <w:sz w:val="24"/>
        </w:rPr>
      </w:pPr>
      <w:r>
        <w:rPr>
          <w:sz w:val="24"/>
        </w:rPr>
        <w:t>popis monitorovacích</w:t>
      </w:r>
      <w:r>
        <w:rPr>
          <w:spacing w:val="-1"/>
          <w:sz w:val="24"/>
        </w:rPr>
        <w:t> </w:t>
      </w:r>
      <w:r>
        <w:rPr>
          <w:sz w:val="24"/>
        </w:rPr>
        <w:t>indikátorů,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375"/>
        <w:jc w:val="left"/>
        <w:rPr>
          <w:sz w:val="24"/>
        </w:rPr>
      </w:pPr>
      <w:r>
        <w:rPr>
          <w:sz w:val="24"/>
        </w:rPr>
        <w:t>popis realizace výběrového</w:t>
      </w:r>
      <w:r>
        <w:rPr>
          <w:spacing w:val="-1"/>
          <w:sz w:val="24"/>
        </w:rPr>
        <w:t> </w:t>
      </w:r>
      <w:r>
        <w:rPr>
          <w:sz w:val="24"/>
        </w:rPr>
        <w:t>řízení,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440"/>
        <w:jc w:val="left"/>
        <w:rPr>
          <w:sz w:val="24"/>
        </w:rPr>
      </w:pPr>
      <w:r>
        <w:rPr>
          <w:sz w:val="24"/>
        </w:rPr>
        <w:t>výpočet veřejné</w:t>
      </w:r>
      <w:r>
        <w:rPr>
          <w:spacing w:val="-1"/>
          <w:sz w:val="24"/>
        </w:rPr>
        <w:t> </w:t>
      </w:r>
      <w:r>
        <w:rPr>
          <w:sz w:val="24"/>
        </w:rPr>
        <w:t>podpory,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428"/>
        <w:jc w:val="left"/>
        <w:rPr>
          <w:sz w:val="24"/>
        </w:rPr>
      </w:pPr>
      <w:r>
        <w:rPr>
          <w:sz w:val="24"/>
        </w:rPr>
        <w:t>popis realizované</w:t>
      </w:r>
      <w:r>
        <w:rPr>
          <w:spacing w:val="-2"/>
          <w:sz w:val="24"/>
        </w:rPr>
        <w:t> </w:t>
      </w:r>
      <w:r>
        <w:rPr>
          <w:sz w:val="24"/>
        </w:rPr>
        <w:t>publicity,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360"/>
        <w:jc w:val="left"/>
        <w:rPr>
          <w:sz w:val="24"/>
        </w:rPr>
      </w:pPr>
      <w:r>
        <w:rPr>
          <w:sz w:val="24"/>
        </w:rPr>
        <w:t>výpočet finančního plánu na další</w:t>
      </w:r>
      <w:r>
        <w:rPr>
          <w:spacing w:val="0"/>
          <w:sz w:val="24"/>
        </w:rPr>
        <w:t> </w:t>
      </w:r>
      <w:r>
        <w:rPr>
          <w:sz w:val="24"/>
        </w:rPr>
        <w:t>období,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75" w:lineRule="exact" w:before="0" w:after="0"/>
        <w:ind w:left="2278" w:right="0" w:hanging="428"/>
        <w:jc w:val="left"/>
        <w:rPr>
          <w:sz w:val="24"/>
        </w:rPr>
      </w:pPr>
      <w:r>
        <w:rPr>
          <w:sz w:val="24"/>
        </w:rPr>
        <w:t>úprava harmonogramu</w:t>
      </w:r>
      <w:r>
        <w:rPr>
          <w:spacing w:val="-2"/>
          <w:sz w:val="24"/>
        </w:rPr>
        <w:t> </w:t>
      </w:r>
      <w:r>
        <w:rPr>
          <w:sz w:val="24"/>
        </w:rPr>
        <w:t>realizace.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75" w:lineRule="exact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Zpracování 2 části monitorovací</w:t>
      </w:r>
      <w:r>
        <w:rPr>
          <w:spacing w:val="-1"/>
          <w:sz w:val="24"/>
        </w:rPr>
        <w:t> </w:t>
      </w:r>
      <w:r>
        <w:rPr>
          <w:sz w:val="24"/>
        </w:rPr>
        <w:t>zprávy: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232" w:hanging="308"/>
        <w:jc w:val="left"/>
        <w:rPr>
          <w:sz w:val="24"/>
        </w:rPr>
      </w:pPr>
      <w:r>
        <w:rPr>
          <w:sz w:val="24"/>
        </w:rPr>
        <w:t>popis realizovaných klíčových aktivit (detailní popis práce realizačního týmu, popis realizovaných vzdělávacích aktivit (školení),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303" w:hanging="375"/>
        <w:jc w:val="left"/>
        <w:rPr>
          <w:sz w:val="24"/>
        </w:rPr>
      </w:pPr>
      <w:r>
        <w:rPr>
          <w:sz w:val="24"/>
        </w:rPr>
        <w:t>popis plánovaných klíčových aktivit (popis plánu činností realizačního týmu, stanovení termínů školení, popis náplně klíčové</w:t>
      </w:r>
      <w:r>
        <w:rPr>
          <w:spacing w:val="-7"/>
          <w:sz w:val="24"/>
        </w:rPr>
        <w:t> </w:t>
      </w:r>
      <w:r>
        <w:rPr>
          <w:sz w:val="24"/>
        </w:rPr>
        <w:t>aktivity),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300" w:hanging="440"/>
        <w:jc w:val="left"/>
        <w:rPr>
          <w:sz w:val="24"/>
        </w:rPr>
      </w:pPr>
      <w:r>
        <w:rPr>
          <w:sz w:val="24"/>
        </w:rPr>
        <w:t>popis změn v projektu (popis změn harmonogramu, rozpočtu atd. – důvody a přijatá</w:t>
      </w:r>
      <w:r>
        <w:rPr>
          <w:spacing w:val="-1"/>
          <w:sz w:val="24"/>
        </w:rPr>
        <w:t> </w:t>
      </w:r>
      <w:r>
        <w:rPr>
          <w:sz w:val="24"/>
        </w:rPr>
        <w:t>opatření).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1" w:after="0"/>
        <w:ind w:left="1558" w:right="0" w:hanging="360"/>
        <w:jc w:val="left"/>
        <w:rPr>
          <w:sz w:val="24"/>
        </w:rPr>
      </w:pPr>
      <w:r>
        <w:rPr>
          <w:sz w:val="24"/>
        </w:rPr>
        <w:t>Zpracování finanční části monitorovací</w:t>
      </w:r>
      <w:r>
        <w:rPr>
          <w:spacing w:val="-1"/>
          <w:sz w:val="24"/>
        </w:rPr>
        <w:t> </w:t>
      </w:r>
      <w:r>
        <w:rPr>
          <w:sz w:val="24"/>
        </w:rPr>
        <w:t>zprávy: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308"/>
        <w:jc w:val="left"/>
        <w:rPr>
          <w:sz w:val="24"/>
        </w:rPr>
      </w:pPr>
      <w:r>
        <w:rPr>
          <w:sz w:val="24"/>
        </w:rPr>
        <w:t>zpracovaní rozpisu mzdových</w:t>
      </w:r>
      <w:r>
        <w:rPr>
          <w:spacing w:val="-1"/>
          <w:sz w:val="24"/>
        </w:rPr>
        <w:t> </w:t>
      </w:r>
      <w:r>
        <w:rPr>
          <w:sz w:val="24"/>
        </w:rPr>
        <w:t>výdajů,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375"/>
        <w:jc w:val="left"/>
        <w:rPr>
          <w:sz w:val="24"/>
        </w:rPr>
      </w:pPr>
      <w:r>
        <w:rPr>
          <w:sz w:val="24"/>
        </w:rPr>
        <w:t>zpracování soupisky účetních</w:t>
      </w:r>
      <w:r>
        <w:rPr>
          <w:spacing w:val="-6"/>
          <w:sz w:val="24"/>
        </w:rPr>
        <w:t> </w:t>
      </w:r>
      <w:r>
        <w:rPr>
          <w:sz w:val="24"/>
        </w:rPr>
        <w:t>dokladů,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440"/>
        <w:jc w:val="left"/>
        <w:rPr>
          <w:sz w:val="24"/>
        </w:rPr>
      </w:pPr>
      <w:r>
        <w:rPr>
          <w:sz w:val="24"/>
        </w:rPr>
        <w:t>zpracování přehledu</w:t>
      </w:r>
      <w:r>
        <w:rPr>
          <w:spacing w:val="-1"/>
          <w:sz w:val="24"/>
        </w:rPr>
        <w:t> </w:t>
      </w:r>
      <w:r>
        <w:rPr>
          <w:sz w:val="24"/>
        </w:rPr>
        <w:t>čerpání,</w:t>
      </w:r>
    </w:p>
    <w:p>
      <w:pPr>
        <w:pStyle w:val="ListParagraph"/>
        <w:numPr>
          <w:ilvl w:val="3"/>
          <w:numId w:val="7"/>
        </w:numPr>
        <w:tabs>
          <w:tab w:pos="2278" w:val="left" w:leader="none"/>
        </w:tabs>
        <w:spacing w:line="240" w:lineRule="auto" w:before="0" w:after="0"/>
        <w:ind w:left="2278" w:right="0" w:hanging="428"/>
        <w:jc w:val="left"/>
        <w:rPr>
          <w:sz w:val="24"/>
        </w:rPr>
      </w:pPr>
      <w:r>
        <w:rPr>
          <w:sz w:val="24"/>
        </w:rPr>
        <w:t>zpracování žádosti o</w:t>
      </w:r>
      <w:r>
        <w:rPr>
          <w:spacing w:val="-1"/>
          <w:sz w:val="24"/>
        </w:rPr>
        <w:t> </w:t>
      </w:r>
      <w:r>
        <w:rPr>
          <w:sz w:val="24"/>
        </w:rPr>
        <w:t>platbu.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960" w:right="960"/>
        </w:sectPr>
      </w:pPr>
    </w:p>
    <w:p>
      <w:pPr>
        <w:pStyle w:val="Heading2"/>
        <w:numPr>
          <w:ilvl w:val="1"/>
          <w:numId w:val="7"/>
        </w:numPr>
        <w:tabs>
          <w:tab w:pos="839" w:val="left" w:leader="none"/>
        </w:tabs>
        <w:spacing w:line="388" w:lineRule="exact" w:before="0" w:after="0"/>
        <w:ind w:left="838" w:right="0" w:hanging="360"/>
        <w:jc w:val="left"/>
      </w:pPr>
      <w:r>
        <w:rPr/>
        <w:t>Výběrové řízení (dle Pravidel pro žadatele a</w:t>
      </w:r>
      <w:r>
        <w:rPr>
          <w:spacing w:val="-4"/>
        </w:rPr>
        <w:t> </w:t>
      </w:r>
      <w:r>
        <w:rPr/>
        <w:t>příjemce)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69" w:lineRule="exact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vedení harmonogramu zadávacích řízení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vymezení rozsahu zadávacích řízení v rozsahu položek žádosti o finanční</w:t>
      </w:r>
      <w:r>
        <w:rPr>
          <w:spacing w:val="-4"/>
          <w:sz w:val="24"/>
        </w:rPr>
        <w:t> </w:t>
      </w:r>
      <w:r>
        <w:rPr>
          <w:sz w:val="24"/>
        </w:rPr>
        <w:t>podporu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603" w:hanging="360"/>
        <w:jc w:val="left"/>
        <w:rPr>
          <w:sz w:val="24"/>
        </w:rPr>
      </w:pPr>
      <w:r>
        <w:rPr>
          <w:sz w:val="24"/>
        </w:rPr>
        <w:t>stanovování obchodních a platebních podmínek, stanovování požadavků na zpracování nabídkových cen a kvalifikaci, požadavků na obsah a formu nabídek i kritéria hodnocení</w:t>
      </w:r>
      <w:r>
        <w:rPr>
          <w:spacing w:val="-2"/>
          <w:sz w:val="24"/>
        </w:rPr>
        <w:t> </w:t>
      </w:r>
      <w:r>
        <w:rPr>
          <w:sz w:val="24"/>
        </w:rPr>
        <w:t>nabídek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tvorba výzvy a zadávací</w:t>
      </w:r>
      <w:r>
        <w:rPr>
          <w:spacing w:val="-7"/>
          <w:sz w:val="24"/>
        </w:rPr>
        <w:t> </w:t>
      </w:r>
      <w:r>
        <w:rPr>
          <w:sz w:val="24"/>
        </w:rPr>
        <w:t>dokumentace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oslovování potencionálních</w:t>
      </w:r>
      <w:r>
        <w:rPr>
          <w:spacing w:val="-1"/>
          <w:sz w:val="24"/>
        </w:rPr>
        <w:t> </w:t>
      </w:r>
      <w:r>
        <w:rPr>
          <w:sz w:val="24"/>
        </w:rPr>
        <w:t>uchazečů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uveřejnění výzvy a zadávací</w:t>
      </w:r>
      <w:r>
        <w:rPr>
          <w:spacing w:val="-5"/>
          <w:sz w:val="24"/>
        </w:rPr>
        <w:t> </w:t>
      </w:r>
      <w:r>
        <w:rPr>
          <w:sz w:val="24"/>
        </w:rPr>
        <w:t>dokumentace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tvorba zápisů z otevírání obálek a hodnocení</w:t>
      </w:r>
      <w:r>
        <w:rPr>
          <w:spacing w:val="-2"/>
          <w:sz w:val="24"/>
        </w:rPr>
        <w:t> </w:t>
      </w:r>
      <w:r>
        <w:rPr>
          <w:sz w:val="24"/>
        </w:rPr>
        <w:t>nabídek</w:t>
      </w:r>
    </w:p>
    <w:p>
      <w:pPr>
        <w:pStyle w:val="ListParagraph"/>
        <w:numPr>
          <w:ilvl w:val="2"/>
          <w:numId w:val="7"/>
        </w:numPr>
        <w:tabs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zajištění uveřejnění ve stanovených lhůtách a na stanovených</w:t>
      </w:r>
      <w:r>
        <w:rPr>
          <w:spacing w:val="-9"/>
          <w:sz w:val="24"/>
        </w:rPr>
        <w:t> </w:t>
      </w:r>
      <w:r>
        <w:rPr>
          <w:sz w:val="24"/>
        </w:rPr>
        <w:t>místech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zajištění oznámení o výsledku výběrových</w:t>
      </w:r>
      <w:r>
        <w:rPr>
          <w:spacing w:val="-3"/>
          <w:sz w:val="24"/>
        </w:rPr>
        <w:t> </w:t>
      </w:r>
      <w:r>
        <w:rPr>
          <w:sz w:val="24"/>
        </w:rPr>
        <w:t>řízení</w:t>
      </w:r>
    </w:p>
    <w:p>
      <w:pPr>
        <w:pStyle w:val="ListParagraph"/>
        <w:numPr>
          <w:ilvl w:val="2"/>
          <w:numId w:val="7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8" w:right="0" w:hanging="360"/>
        <w:jc w:val="left"/>
        <w:rPr>
          <w:sz w:val="24"/>
        </w:rPr>
      </w:pPr>
      <w:r>
        <w:rPr>
          <w:sz w:val="24"/>
        </w:rPr>
        <w:t>uveřejnění výsledku, smlouvy a dalších dokumentů výběrového</w:t>
      </w:r>
      <w:r>
        <w:rPr>
          <w:spacing w:val="-9"/>
          <w:sz w:val="24"/>
        </w:rPr>
        <w:t> </w:t>
      </w:r>
      <w:r>
        <w:rPr>
          <w:sz w:val="24"/>
        </w:rPr>
        <w:t>řízení</w:t>
      </w:r>
    </w:p>
    <w:sectPr>
      <w:pgSz w:w="11910" w:h="16840"/>
      <w:pgMar w:top="10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Times-BoldItalic">
    <w:altName w:val="Times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838" w:hanging="360"/>
        <w:jc w:val="left"/>
      </w:pPr>
      <w:rPr>
        <w:rFonts w:hint="default"/>
        <w:b/>
        <w:bCs/>
        <w:spacing w:val="-3"/>
        <w:w w:val="100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8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3">
      <w:start w:val="1"/>
      <w:numFmt w:val="lowerRoman"/>
      <w:lvlText w:val="%4."/>
      <w:lvlJc w:val="left"/>
      <w:pPr>
        <w:ind w:left="2278" w:hanging="308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380" w:hanging="30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481" w:hanging="30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582" w:hanging="30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83" w:hanging="30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84" w:hanging="308"/>
      </w:pPr>
      <w:rPr>
        <w:rFonts w:hint="default"/>
        <w:lang w:val="cs-CZ" w:eastAsia="cs-CZ" w:bidi="cs-CZ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36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81" w:hanging="36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31" w:hanging="36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82" w:hanging="36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33" w:hanging="36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83" w:hanging="36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34" w:hanging="36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85" w:hanging="361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36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81" w:hanging="36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31" w:hanging="36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82" w:hanging="36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33" w:hanging="36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83" w:hanging="36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34" w:hanging="36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85" w:hanging="361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361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81" w:hanging="36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331" w:hanging="36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282" w:hanging="36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33" w:hanging="36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83" w:hanging="36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34" w:hanging="36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85" w:hanging="361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cs-CZ" w:eastAsia="cs-CZ" w:bidi="cs-CZ"/>
      </w:rPr>
    </w:lvl>
    <w:lvl w:ilvl="1">
      <w:start w:val="1"/>
      <w:numFmt w:val="lowerLetter"/>
      <w:lvlText w:val="%2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05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8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057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58" w:hanging="360"/>
      </w:pPr>
      <w:rPr>
        <w:rFonts w:hint="default" w:ascii="Arial" w:hAnsi="Arial" w:eastAsia="Arial" w:cs="Arial"/>
        <w:w w:val="131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2402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4087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930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58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637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5174" w:hanging="72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5709" w:hanging="72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6243" w:hanging="72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6778" w:hanging="72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7313" w:hanging="72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7847" w:hanging="72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8382" w:hanging="72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917" w:hanging="720"/>
      </w:pPr>
      <w:rPr>
        <w:rFonts w:hint="default"/>
        <w:lang w:val="cs-CZ" w:eastAsia="cs-CZ" w:bidi="cs-CZ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558" w:hanging="360"/>
    </w:pPr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7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line="381" w:lineRule="exact"/>
      <w:ind w:left="838" w:hanging="360"/>
      <w:outlineLvl w:val="2"/>
    </w:pPr>
    <w:rPr>
      <w:rFonts w:ascii="Times-BoldItalic" w:hAnsi="Times-BoldItalic" w:eastAsia="Times-BoldItalic" w:cs="Times-BoldItalic"/>
      <w:b/>
      <w:bCs/>
      <w:i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1558" w:hanging="360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.schovankova@typeco.cz" TargetMode="External"/><Relationship Id="rId6" Type="http://schemas.openxmlformats.org/officeDocument/2006/relationships/hyperlink" Target="mailto:skola@zsgutova.cz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dcterms:created xsi:type="dcterms:W3CDTF">2018-07-02T07:47:16Z</dcterms:created>
  <dcterms:modified xsi:type="dcterms:W3CDTF">2018-07-02T07:47:16Z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2018-07-02T00:00:00Z</vt:filetime>
  </property>
</Properties>
</file>