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63" w:rsidRDefault="009D5BBD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8B4BB6">
        <w:rPr>
          <w:rFonts w:ascii="Arial" w:hAnsi="Arial" w:cs="Arial"/>
          <w:sz w:val="22"/>
          <w:szCs w:val="22"/>
        </w:rPr>
        <w:t>05980/SOPK/18-</w:t>
      </w:r>
      <w:r w:rsidR="00B425CB">
        <w:rPr>
          <w:rFonts w:ascii="Arial" w:hAnsi="Arial" w:cs="Arial"/>
          <w:sz w:val="22"/>
          <w:szCs w:val="22"/>
        </w:rPr>
        <w:t>07</w:t>
      </w:r>
    </w:p>
    <w:p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na zajištění monitoringu návštěvnosti pro AOPK ČR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>dodání dat o</w:t>
      </w:r>
      <w:r w:rsidR="00FB2931">
        <w:rPr>
          <w:rFonts w:ascii="Arial" w:hAnsi="Arial" w:cs="Arial"/>
          <w:sz w:val="22"/>
          <w:szCs w:val="22"/>
        </w:rPr>
        <w:t> </w:t>
      </w:r>
      <w:r w:rsidR="002C107D">
        <w:rPr>
          <w:rFonts w:ascii="Arial" w:hAnsi="Arial" w:cs="Arial"/>
          <w:sz w:val="22"/>
          <w:szCs w:val="22"/>
        </w:rPr>
        <w:t>návštěvnosti vybraných lokalit v péči AOPK ČR zjištěných monitoringem metodou automatických čidel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 w:rsidRPr="009C74C6">
        <w:rPr>
          <w:rFonts w:ascii="Arial" w:hAnsi="Arial" w:cs="Arial"/>
          <w:sz w:val="22"/>
          <w:szCs w:val="22"/>
        </w:rPr>
        <w:t xml:space="preserve">pro 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8B4BB6">
        <w:rPr>
          <w:rFonts w:ascii="Arial" w:hAnsi="Arial" w:cs="Arial"/>
          <w:sz w:val="22"/>
          <w:szCs w:val="22"/>
        </w:rPr>
        <w:t>05807/SOPK/18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FE4843">
        <w:rPr>
          <w:rFonts w:ascii="Arial" w:hAnsi="Arial" w:cs="Arial"/>
          <w:sz w:val="22"/>
          <w:szCs w:val="22"/>
        </w:rPr>
        <w:t>22. 5. 2018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:rsidR="00310CED" w:rsidRPr="009507F0" w:rsidRDefault="00F74B41" w:rsidP="00310CED">
      <w:pPr>
        <w:rPr>
          <w:rFonts w:ascii="Arial" w:hAnsi="Arial" w:cs="Arial"/>
          <w:b/>
          <w:sz w:val="22"/>
          <w:szCs w:val="22"/>
        </w:rPr>
      </w:pPr>
      <w:r w:rsidRPr="009507F0">
        <w:rPr>
          <w:rFonts w:ascii="Arial" w:hAnsi="Arial" w:cs="Arial"/>
          <w:b/>
          <w:sz w:val="22"/>
          <w:szCs w:val="22"/>
        </w:rPr>
        <w:t>d</w:t>
      </w:r>
      <w:r w:rsidR="005823CA" w:rsidRPr="009507F0">
        <w:rPr>
          <w:rFonts w:ascii="Arial" w:hAnsi="Arial" w:cs="Arial"/>
          <w:b/>
          <w:sz w:val="22"/>
          <w:szCs w:val="22"/>
        </w:rPr>
        <w:t>odavatel</w:t>
      </w:r>
      <w:r w:rsidR="00310CED" w:rsidRPr="009507F0">
        <w:rPr>
          <w:rFonts w:ascii="Arial" w:hAnsi="Arial" w:cs="Arial"/>
          <w:b/>
          <w:sz w:val="22"/>
          <w:szCs w:val="22"/>
        </w:rPr>
        <w:t>:</w:t>
      </w:r>
    </w:p>
    <w:p w:rsidR="009507F0" w:rsidRDefault="009507F0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:rsidR="00310CED" w:rsidRPr="009507F0" w:rsidRDefault="00310CED" w:rsidP="00310CED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sídlo:</w:t>
      </w:r>
      <w:r w:rsidR="009507F0">
        <w:rPr>
          <w:rFonts w:ascii="Arial" w:hAnsi="Arial" w:cs="Arial"/>
          <w:sz w:val="22"/>
          <w:szCs w:val="22"/>
        </w:rPr>
        <w:t xml:space="preserve"> Údolní 33, 602 00 Brno</w:t>
      </w:r>
    </w:p>
    <w:p w:rsidR="00310CED" w:rsidRPr="009507F0" w:rsidRDefault="00310CED" w:rsidP="00310CED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IČ:</w:t>
      </w:r>
      <w:r w:rsidR="009507F0">
        <w:rPr>
          <w:rFonts w:ascii="Arial" w:hAnsi="Arial" w:cs="Arial"/>
          <w:sz w:val="22"/>
          <w:szCs w:val="22"/>
        </w:rPr>
        <w:t xml:space="preserve"> 26268817</w:t>
      </w:r>
    </w:p>
    <w:p w:rsidR="00310CED" w:rsidRPr="009507F0" w:rsidRDefault="00310CED" w:rsidP="00310CED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DIČ:</w:t>
      </w:r>
      <w:r w:rsidR="009507F0">
        <w:rPr>
          <w:rFonts w:ascii="Arial" w:hAnsi="Arial" w:cs="Arial"/>
          <w:sz w:val="22"/>
          <w:szCs w:val="22"/>
        </w:rPr>
        <w:t xml:space="preserve"> CZ26268817</w:t>
      </w:r>
    </w:p>
    <w:p w:rsidR="00310CED" w:rsidRPr="009507F0" w:rsidRDefault="00310CED" w:rsidP="00310CED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bankovní spojení:</w:t>
      </w:r>
      <w:r w:rsidR="009507F0">
        <w:rPr>
          <w:rFonts w:ascii="Arial" w:hAnsi="Arial" w:cs="Arial"/>
          <w:sz w:val="22"/>
          <w:szCs w:val="22"/>
        </w:rPr>
        <w:t xml:space="preserve"> XXXXXXXXXXXXXXXXXXXXXXXXXXXXX</w:t>
      </w:r>
    </w:p>
    <w:p w:rsidR="00310CED" w:rsidRPr="009507F0" w:rsidRDefault="00310CED" w:rsidP="00310CED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 xml:space="preserve">zastoupený: </w:t>
      </w:r>
      <w:r w:rsidR="009507F0">
        <w:rPr>
          <w:rFonts w:ascii="Arial" w:hAnsi="Arial" w:cs="Arial"/>
          <w:sz w:val="22"/>
          <w:szCs w:val="22"/>
        </w:rPr>
        <w:t xml:space="preserve">Ing. Petrem </w:t>
      </w:r>
      <w:bookmarkStart w:id="0" w:name="_GoBack"/>
      <w:bookmarkEnd w:id="0"/>
      <w:r w:rsidR="009507F0">
        <w:rPr>
          <w:rFonts w:ascii="Arial" w:hAnsi="Arial" w:cs="Arial"/>
          <w:sz w:val="22"/>
          <w:szCs w:val="22"/>
        </w:rPr>
        <w:t>Kazdou, ředitelem</w:t>
      </w:r>
    </w:p>
    <w:p w:rsidR="00310CED" w:rsidRPr="009507F0" w:rsidRDefault="00310CED" w:rsidP="00310CED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kontaktní osoba:</w:t>
      </w:r>
      <w:r w:rsidR="009507F0">
        <w:rPr>
          <w:rFonts w:ascii="Arial" w:hAnsi="Arial" w:cs="Arial"/>
          <w:sz w:val="22"/>
          <w:szCs w:val="22"/>
        </w:rPr>
        <w:t xml:space="preserve"> Ing. Luboš Kala, tel. XXXXXXXXX, email: lubos.kala@nap.cz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 w:rsidRPr="009507F0">
        <w:rPr>
          <w:rFonts w:ascii="Arial" w:hAnsi="Arial" w:cs="Arial"/>
          <w:sz w:val="22"/>
          <w:szCs w:val="22"/>
        </w:rPr>
        <w:t>(dále jen „</w:t>
      </w:r>
      <w:r w:rsidR="005823CA" w:rsidRPr="009507F0">
        <w:rPr>
          <w:rFonts w:ascii="Arial" w:hAnsi="Arial" w:cs="Arial"/>
          <w:sz w:val="22"/>
          <w:szCs w:val="22"/>
        </w:rPr>
        <w:t>dodavatel</w:t>
      </w:r>
      <w:r w:rsidRPr="009507F0">
        <w:rPr>
          <w:rFonts w:ascii="Arial" w:hAnsi="Arial" w:cs="Arial"/>
          <w:sz w:val="22"/>
          <w:szCs w:val="22"/>
        </w:rPr>
        <w:t>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791D25" w:rsidRPr="00791D25" w:rsidRDefault="00791D25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>dodání dat o návštěvnosti vybraných lokalit v péči AOPK ČR zjištěných monitoringem metodou automatických čidel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8B4BB6">
        <w:rPr>
          <w:rFonts w:ascii="Arial" w:hAnsi="Arial" w:cs="Arial"/>
          <w:sz w:val="22"/>
          <w:szCs w:val="22"/>
        </w:rPr>
        <w:t>05807/SOPK/18</w:t>
      </w:r>
      <w:r w:rsidR="008B4BB6" w:rsidRPr="009C74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FE4843">
        <w:rPr>
          <w:rFonts w:ascii="Arial" w:hAnsi="Arial" w:cs="Arial"/>
          <w:sz w:val="22"/>
          <w:szCs w:val="22"/>
        </w:rPr>
        <w:t xml:space="preserve">22. 5. 2018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</w:t>
      </w:r>
      <w:r w:rsidR="00FB2931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přednost před</w:t>
      </w:r>
      <w:r w:rsidR="00FB2931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 xml:space="preserve">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:rsidR="000224D0" w:rsidRPr="00C97E53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:rsidR="00CD5C5C" w:rsidRPr="00C97E53" w:rsidRDefault="00CD5C5C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:rsidR="00D72670" w:rsidRPr="00B55126" w:rsidRDefault="000224D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 xml:space="preserve">(poloha lokalit, měřená uživatelská skupina, rozlišení směru pohybu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8B4BB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:rsidR="004A7D3C" w:rsidRPr="004A7D3C" w:rsidRDefault="004A7D3C" w:rsidP="0061649C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:rsidR="0061649C" w:rsidRPr="00230FC9" w:rsidRDefault="0061649C" w:rsidP="0061649C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:rsidR="00D72670" w:rsidRPr="00C97E53" w:rsidRDefault="004C0F62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FB2931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FB2931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:rsidR="00D72670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>to</w:t>
      </w:r>
      <w:r w:rsidR="00FB2931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F6DF3" w:rsidRDefault="000F6DF3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:rsidR="00DE6EF9" w:rsidRDefault="007B5D1E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8B4BB6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8B4BB6">
        <w:rPr>
          <w:rFonts w:ascii="Arial" w:hAnsi="Arial" w:cs="Arial"/>
          <w:sz w:val="22"/>
          <w:szCs w:val="22"/>
        </w:rPr>
        <w:t xml:space="preserve">Mgr. Ondřej Vítek, Ph.D. </w:t>
      </w:r>
      <w:r w:rsidR="0033606D">
        <w:rPr>
          <w:rFonts w:ascii="Arial" w:hAnsi="Arial" w:cs="Arial"/>
          <w:sz w:val="22"/>
          <w:szCs w:val="22"/>
        </w:rPr>
        <w:t>(e-</w:t>
      </w:r>
      <w:r w:rsidR="008B4BB6">
        <w:rPr>
          <w:rFonts w:ascii="Arial" w:hAnsi="Arial" w:cs="Arial"/>
          <w:sz w:val="22"/>
          <w:szCs w:val="22"/>
        </w:rPr>
        <w:t xml:space="preserve">mail </w:t>
      </w:r>
      <w:hyperlink r:id="rId10" w:history="1">
        <w:r w:rsidR="008B4BB6" w:rsidRPr="00E23555">
          <w:rPr>
            <w:rStyle w:val="Hypertextovodkaz"/>
            <w:rFonts w:ascii="Arial" w:hAnsi="Arial" w:cs="Arial"/>
            <w:sz w:val="22"/>
            <w:szCs w:val="22"/>
          </w:rPr>
          <w:t>ondrej.vitek@nature.cz</w:t>
        </w:r>
      </w:hyperlink>
      <w:r w:rsidR="008B4BB6">
        <w:rPr>
          <w:rFonts w:ascii="Arial" w:hAnsi="Arial" w:cs="Arial"/>
          <w:sz w:val="22"/>
          <w:szCs w:val="22"/>
        </w:rPr>
        <w:t>, tel. 724790270)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773E45">
        <w:rPr>
          <w:rFonts w:ascii="Arial" w:hAnsi="Arial" w:cs="Arial"/>
          <w:sz w:val="22"/>
          <w:szCs w:val="22"/>
        </w:rPr>
        <w:t>Ing. J</w:t>
      </w:r>
      <w:r w:rsidR="00B425CB">
        <w:rPr>
          <w:rFonts w:ascii="Arial" w:hAnsi="Arial" w:cs="Arial"/>
          <w:sz w:val="22"/>
          <w:szCs w:val="22"/>
        </w:rPr>
        <w:t>iří Hušek ml.</w:t>
      </w:r>
      <w:r w:rsidR="0033606D">
        <w:rPr>
          <w:rFonts w:ascii="Arial" w:hAnsi="Arial" w:cs="Arial"/>
          <w:sz w:val="22"/>
          <w:szCs w:val="22"/>
        </w:rPr>
        <w:t xml:space="preserve">, e-mail </w:t>
      </w:r>
      <w:hyperlink r:id="rId11" w:history="1">
        <w:r w:rsidR="00B425CB" w:rsidRPr="00E23555">
          <w:rPr>
            <w:rStyle w:val="Hypertextovodkaz"/>
            <w:rFonts w:ascii="Arial" w:hAnsi="Arial" w:cs="Arial"/>
            <w:sz w:val="22"/>
            <w:szCs w:val="22"/>
          </w:rPr>
          <w:t>jiri.husek.ml@nature.cz</w:t>
        </w:r>
      </w:hyperlink>
      <w:r w:rsidR="0033606D">
        <w:rPr>
          <w:rFonts w:ascii="Arial" w:hAnsi="Arial" w:cs="Arial"/>
          <w:sz w:val="22"/>
          <w:szCs w:val="22"/>
        </w:rPr>
        <w:t xml:space="preserve">, tel. </w:t>
      </w:r>
      <w:r w:rsidR="00B425CB">
        <w:rPr>
          <w:rFonts w:ascii="Arial" w:hAnsi="Arial" w:cs="Arial"/>
          <w:sz w:val="22"/>
          <w:szCs w:val="22"/>
        </w:rPr>
        <w:t>602874344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:rsidR="00E1767B" w:rsidRDefault="00E1767B" w:rsidP="00E1767B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</w:t>
      </w:r>
      <w:r>
        <w:rPr>
          <w:sz w:val="22"/>
          <w:szCs w:val="22"/>
        </w:rPr>
        <w:t xml:space="preserve">bude určena dle cenové kalkulace v příloze č. 2. Dodavatel </w:t>
      </w:r>
      <w:r w:rsidRPr="0033606D">
        <w:rPr>
          <w:sz w:val="22"/>
          <w:szCs w:val="22"/>
        </w:rPr>
        <w:t>je</w:t>
      </w:r>
      <w:r>
        <w:rPr>
          <w:sz w:val="22"/>
          <w:szCs w:val="22"/>
        </w:rPr>
        <w:t xml:space="preserve"> plátcem DPH.</w:t>
      </w:r>
    </w:p>
    <w:p w:rsidR="00E1767B" w:rsidRDefault="00E1767B" w:rsidP="00E1767B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>
        <w:rPr>
          <w:sz w:val="22"/>
          <w:szCs w:val="22"/>
        </w:rPr>
        <w:t>čl.</w:t>
      </w:r>
      <w:r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</w:p>
    <w:p w:rsidR="00E1767B" w:rsidRDefault="00E1767B" w:rsidP="00E1767B">
      <w:pPr>
        <w:pStyle w:val="Odstavecseseznamem1"/>
      </w:pPr>
    </w:p>
    <w:p w:rsidR="00E1767B" w:rsidRDefault="00E1767B" w:rsidP="00E1767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E1767B" w:rsidRDefault="00E1767B" w:rsidP="00E1767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dodání díla</w:t>
      </w:r>
    </w:p>
    <w:p w:rsidR="00E1767B" w:rsidRDefault="00E1767B" w:rsidP="00E1767B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Provádění díla bude zahájeno po nabytí účinnosti smlouvy.</w:t>
      </w:r>
      <w:r w:rsidRPr="00B55126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>
        <w:rPr>
          <w:sz w:val="22"/>
          <w:szCs w:val="22"/>
        </w:rPr>
        <w:t>předáváno průběžně, a to v termínech uvedených v příloze č. 1 této smlouvy, které jsou pro smluvní strany závazné.</w:t>
      </w:r>
    </w:p>
    <w:p w:rsidR="00E1767B" w:rsidRDefault="00E1767B" w:rsidP="00E1767B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Předáním díla objednateli se rozumí vložení dat do databáze Eco-Visio a předání zprávy objednateli. V termínech uvedených v příloze č. 1 je předáním díla rovněž předání zprávy. </w:t>
      </w:r>
    </w:p>
    <w:p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EC2F83" w:rsidRDefault="00223838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 xml:space="preserve">ho uveřejnění podle zákona č. 340/2015 Sb., o zvláštních podmínkách účinnosti některých smluv, </w:t>
      </w:r>
      <w:r w:rsidR="008B783A" w:rsidRPr="008B783A">
        <w:rPr>
          <w:sz w:val="22"/>
          <w:szCs w:val="22"/>
        </w:rPr>
        <w:lastRenderedPageBreak/>
        <w:t>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</w:p>
    <w:p w:rsidR="00D72670" w:rsidRPr="00EC2F83" w:rsidRDefault="00D72670" w:rsidP="002730A3">
      <w:pPr>
        <w:pStyle w:val="Odstavecseseznamem1"/>
        <w:numPr>
          <w:ilvl w:val="1"/>
          <w:numId w:val="17"/>
        </w:numPr>
        <w:spacing w:before="0" w:after="0" w:line="240" w:lineRule="auto"/>
        <w:contextualSpacing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FB2931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</w:t>
      </w:r>
      <w:r w:rsidR="00FB2931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>budou vzájemně o nabytí účinnosti smlouvy neprodleně informovat.</w:t>
      </w:r>
    </w:p>
    <w:p w:rsidR="00D72670" w:rsidRPr="00B95F1E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 w:rsidR="005712D9"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 w:rsidR="00223838">
        <w:rPr>
          <w:sz w:val="22"/>
          <w:szCs w:val="22"/>
        </w:rPr>
        <w:t xml:space="preserve">dodavatel </w:t>
      </w:r>
      <w:r w:rsidR="005712D9">
        <w:rPr>
          <w:sz w:val="22"/>
          <w:szCs w:val="22"/>
        </w:rPr>
        <w:t xml:space="preserve">obdrží </w:t>
      </w:r>
      <w:r w:rsidR="006B4148">
        <w:rPr>
          <w:sz w:val="22"/>
          <w:szCs w:val="22"/>
        </w:rPr>
        <w:t>jeden</w:t>
      </w:r>
      <w:r w:rsidR="005712D9">
        <w:rPr>
          <w:sz w:val="22"/>
          <w:szCs w:val="22"/>
        </w:rPr>
        <w:t xml:space="preserve">, objednatel </w:t>
      </w:r>
      <w:r w:rsidR="006B4148">
        <w:rPr>
          <w:sz w:val="22"/>
          <w:szCs w:val="22"/>
        </w:rPr>
        <w:t>dva</w:t>
      </w:r>
      <w:r w:rsidR="005712D9">
        <w:rPr>
          <w:sz w:val="22"/>
          <w:szCs w:val="22"/>
        </w:rPr>
        <w:t>.</w:t>
      </w:r>
    </w:p>
    <w:p w:rsidR="00D72670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EC2F83" w:rsidRDefault="00EC2F83" w:rsidP="00EC2F83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507F0" w:rsidRDefault="009507F0" w:rsidP="009507F0">
      <w:pPr>
        <w:spacing w:after="120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>V </w:t>
      </w:r>
      <w:r>
        <w:rPr>
          <w:rFonts w:ascii="Arial" w:hAnsi="Arial" w:cs="Arial"/>
          <w:sz w:val="24"/>
        </w:rPr>
        <w:t>Brně</w:t>
      </w:r>
      <w:r>
        <w:rPr>
          <w:rFonts w:ascii="Arial" w:hAnsi="Arial" w:cs="Arial"/>
          <w:sz w:val="24"/>
        </w:rPr>
        <w:t xml:space="preserve"> dne 1</w:t>
      </w:r>
      <w:r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 6. 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28. 6. 2018</w:t>
      </w:r>
    </w:p>
    <w:p w:rsidR="009507F0" w:rsidRDefault="009507F0" w:rsidP="009507F0">
      <w:pPr>
        <w:spacing w:after="120"/>
        <w:rPr>
          <w:rFonts w:ascii="Arial" w:hAnsi="Arial" w:cs="Arial"/>
          <w:sz w:val="24"/>
          <w:highlight w:val="yellow"/>
        </w:rPr>
      </w:pPr>
    </w:p>
    <w:p w:rsidR="009507F0" w:rsidRDefault="009507F0" w:rsidP="009507F0">
      <w:pPr>
        <w:spacing w:after="120"/>
        <w:rPr>
          <w:rFonts w:ascii="Arial" w:hAnsi="Arial" w:cs="Arial"/>
          <w:sz w:val="24"/>
          <w:highlight w:val="yellow"/>
        </w:rPr>
      </w:pPr>
    </w:p>
    <w:p w:rsidR="009507F0" w:rsidRDefault="009507F0" w:rsidP="009507F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Petr Kazda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:rsidR="009507F0" w:rsidRDefault="009507F0" w:rsidP="009507F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Objednatel</w:t>
      </w:r>
    </w:p>
    <w:p w:rsidR="008B4BB6" w:rsidRDefault="008B4B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E3327" w:rsidRDefault="005E3327" w:rsidP="008B4BB6">
      <w:pPr>
        <w:pStyle w:val="Odstavecseseznamem1"/>
        <w:ind w:left="0"/>
        <w:rPr>
          <w:sz w:val="22"/>
          <w:szCs w:val="22"/>
        </w:rPr>
        <w:sectPr w:rsidR="005E3327">
          <w:footerReference w:type="even" r:id="rId12"/>
          <w:footerReference w:type="default" r:id="rId13"/>
          <w:pgSz w:w="11907" w:h="16840" w:code="9"/>
          <w:pgMar w:top="851" w:right="1247" w:bottom="1021" w:left="1247" w:header="709" w:footer="680" w:gutter="0"/>
          <w:cols w:space="708"/>
        </w:sectPr>
      </w:pPr>
    </w:p>
    <w:p w:rsidR="008B4BB6" w:rsidRDefault="008B4BB6" w:rsidP="008B4BB6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:rsidR="00DC05DF" w:rsidRPr="00DC05DF" w:rsidRDefault="00DC05DF" w:rsidP="008B4BB6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10068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1663"/>
        <w:gridCol w:w="1226"/>
        <w:gridCol w:w="1197"/>
        <w:gridCol w:w="1008"/>
        <w:gridCol w:w="1330"/>
        <w:gridCol w:w="963"/>
        <w:gridCol w:w="1636"/>
      </w:tblGrid>
      <w:tr w:rsidR="00D32B80" w:rsidRPr="005E3327" w:rsidTr="00B425CB">
        <w:trPr>
          <w:trHeight w:val="255"/>
        </w:trPr>
        <w:tc>
          <w:tcPr>
            <w:tcW w:w="1045" w:type="dxa"/>
            <w:shd w:val="clear" w:color="auto" w:fill="BFBFBF" w:themeFill="background1" w:themeFillShade="BF"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Lokalizace</w:t>
            </w:r>
          </w:p>
        </w:tc>
        <w:tc>
          <w:tcPr>
            <w:tcW w:w="1226" w:type="dxa"/>
            <w:shd w:val="clear" w:color="auto" w:fill="BFBFBF" w:themeFill="background1" w:themeFillShade="BF"/>
            <w:vAlign w:val="center"/>
          </w:tcPr>
          <w:p w:rsidR="00FB2931" w:rsidRDefault="00FB2931" w:rsidP="00FB29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Souřadnice N</w:t>
            </w:r>
          </w:p>
        </w:tc>
        <w:tc>
          <w:tcPr>
            <w:tcW w:w="1197" w:type="dxa"/>
            <w:shd w:val="clear" w:color="auto" w:fill="BFBFBF" w:themeFill="background1" w:themeFillShade="BF"/>
            <w:vAlign w:val="center"/>
          </w:tcPr>
          <w:p w:rsidR="00FB2931" w:rsidRDefault="00FB2931" w:rsidP="00FB29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Souřadnice E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Období sledování</w:t>
            </w:r>
          </w:p>
        </w:tc>
        <w:tc>
          <w:tcPr>
            <w:tcW w:w="1330" w:type="dxa"/>
            <w:shd w:val="clear" w:color="auto" w:fill="BFBFBF" w:themeFill="background1" w:themeFillShade="BF"/>
            <w:noWrap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Rozlišení uživatelských skupin</w:t>
            </w:r>
          </w:p>
        </w:tc>
        <w:tc>
          <w:tcPr>
            <w:tcW w:w="963" w:type="dxa"/>
            <w:shd w:val="clear" w:color="auto" w:fill="BFBFBF" w:themeFill="background1" w:themeFillShade="BF"/>
            <w:noWrap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Rozlišení směru</w:t>
            </w:r>
          </w:p>
        </w:tc>
        <w:tc>
          <w:tcPr>
            <w:tcW w:w="1636" w:type="dxa"/>
            <w:shd w:val="clear" w:color="auto" w:fill="BFBFBF" w:themeFill="background1" w:themeFillShade="BF"/>
            <w:noWrap/>
            <w:vAlign w:val="center"/>
          </w:tcPr>
          <w:p w:rsidR="00FB2931" w:rsidRPr="005E3327" w:rsidRDefault="00FB2931" w:rsidP="005E3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E1767B" w:rsidTr="00B425CB">
        <w:trPr>
          <w:trHeight w:val="255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LJH01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NPR Jizerskohorské bučiny, Hemmrich - směr Lysé skály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50,8649144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15,1018997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  <w:tr w:rsidR="00E1767B" w:rsidTr="00B425CB">
        <w:trPr>
          <w:trHeight w:val="255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LJH02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 Jizerské hory, PR Klečové louky, Knajpa rozcestí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50,8303936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15,2366914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  <w:tr w:rsidR="00E1767B" w:rsidTr="00B425CB">
        <w:trPr>
          <w:trHeight w:val="255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NPR Jizerskohorské bučiny, Hemmrich - směr Viničná cesta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50,8631842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15,1060878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  <w:tr w:rsidR="00E1767B" w:rsidTr="00B425CB">
        <w:trPr>
          <w:trHeight w:val="255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LJH06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 Jizerské hory, Jizerská cesta, kiosek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50,8409847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15,2932006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  <w:tr w:rsidR="00E1767B" w:rsidTr="00B425CB">
        <w:trPr>
          <w:trHeight w:val="255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LJH07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NPR Jizerskohorské bučiny, Ferdinandov - směr Štolpišská cesta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50,8623211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15,176485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  <w:tr w:rsidR="00E1767B" w:rsidTr="00B425CB">
        <w:trPr>
          <w:trHeight w:val="255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LJH08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 Jizerské hory, Knížecí cesta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50,7857869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15,3426483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  <w:tr w:rsidR="00E1767B" w:rsidTr="00B425CB">
        <w:trPr>
          <w:trHeight w:val="510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E1767B" w:rsidRPr="00B425C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 w:rsidRPr="00B425CB">
              <w:rPr>
                <w:rFonts w:ascii="Arial" w:hAnsi="Arial" w:cs="Arial"/>
                <w:bCs/>
                <w:color w:val="000000"/>
              </w:rPr>
              <w:t>Střední hřeben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50,8405636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15,3401561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  <w:tr w:rsidR="00E1767B" w:rsidTr="00B425CB">
        <w:trPr>
          <w:trHeight w:val="255"/>
        </w:trPr>
        <w:tc>
          <w:tcPr>
            <w:tcW w:w="1045" w:type="dxa"/>
            <w:shd w:val="clear" w:color="auto" w:fill="auto"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LJH13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E1767B" w:rsidRDefault="00E1767B" w:rsidP="00B425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Mariánskohorské boudy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:rsidR="00E1767B" w:rsidRDefault="00E1767B" w:rsidP="005723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50,7986500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767B" w:rsidRDefault="00E1767B" w:rsidP="001659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15,2696494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E1767B" w:rsidRDefault="00E1767B" w:rsidP="00F45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1. 7. 2018 do 31. 12. 2020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1767B" w:rsidRDefault="00E176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E1767B" w:rsidRDefault="00E176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sčítat dohromady pěší, cyklisty a lyžaře</w:t>
            </w:r>
          </w:p>
        </w:tc>
      </w:tr>
    </w:tbl>
    <w:p w:rsidR="005227E2" w:rsidRPr="00622314" w:rsidRDefault="005227E2" w:rsidP="005227E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:rsidR="00DC05DF" w:rsidRDefault="00DC05DF" w:rsidP="00DC05DF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</w:t>
      </w:r>
      <w:r w:rsidR="001659DF">
        <w:rPr>
          <w:sz w:val="22"/>
          <w:szCs w:val="22"/>
        </w:rPr>
        <w:t>v</w:t>
      </w:r>
      <w:r>
        <w:rPr>
          <w:sz w:val="22"/>
          <w:szCs w:val="22"/>
        </w:rPr>
        <w:t xml:space="preserve">ždy nejpozději do </w:t>
      </w:r>
      <w:r w:rsidR="001659DF">
        <w:rPr>
          <w:sz w:val="22"/>
          <w:szCs w:val="22"/>
        </w:rPr>
        <w:t>31. 3. následujícího roku</w:t>
      </w:r>
    </w:p>
    <w:p w:rsidR="00DC05DF" w:rsidRPr="00DC05DF" w:rsidRDefault="00DC05DF" w:rsidP="00DC05DF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</w:t>
      </w:r>
      <w:r w:rsidR="001659DF">
        <w:rPr>
          <w:sz w:val="22"/>
          <w:szCs w:val="22"/>
        </w:rPr>
        <w:t>z</w:t>
      </w:r>
      <w:r>
        <w:rPr>
          <w:sz w:val="22"/>
          <w:szCs w:val="22"/>
        </w:rPr>
        <w:t xml:space="preserve">a období </w:t>
      </w:r>
      <w:r w:rsidR="001659DF">
        <w:rPr>
          <w:sz w:val="22"/>
          <w:szCs w:val="22"/>
        </w:rPr>
        <w:t xml:space="preserve">1. ledna až 31. března </w:t>
      </w:r>
      <w:r>
        <w:rPr>
          <w:sz w:val="22"/>
          <w:szCs w:val="22"/>
        </w:rPr>
        <w:t xml:space="preserve">vždy nejpozději do </w:t>
      </w:r>
      <w:r w:rsidR="001659DF">
        <w:rPr>
          <w:sz w:val="22"/>
          <w:szCs w:val="22"/>
        </w:rPr>
        <w:t>30. 4.</w:t>
      </w:r>
      <w:r>
        <w:rPr>
          <w:sz w:val="22"/>
          <w:szCs w:val="22"/>
        </w:rPr>
        <w:t xml:space="preserve">, za období </w:t>
      </w:r>
      <w:r w:rsidR="001659DF">
        <w:rPr>
          <w:sz w:val="22"/>
          <w:szCs w:val="22"/>
        </w:rPr>
        <w:t xml:space="preserve">1. dubna až 30. června </w:t>
      </w:r>
      <w:r>
        <w:rPr>
          <w:sz w:val="22"/>
          <w:szCs w:val="22"/>
        </w:rPr>
        <w:t>vždy nejpozději do</w:t>
      </w:r>
      <w:r w:rsidR="001659DF">
        <w:rPr>
          <w:sz w:val="22"/>
          <w:szCs w:val="22"/>
        </w:rPr>
        <w:t xml:space="preserve"> 31. 7.</w:t>
      </w:r>
      <w:r>
        <w:rPr>
          <w:sz w:val="22"/>
          <w:szCs w:val="22"/>
        </w:rPr>
        <w:t xml:space="preserve">, za období </w:t>
      </w:r>
      <w:r w:rsidR="001659DF">
        <w:rPr>
          <w:sz w:val="22"/>
          <w:szCs w:val="22"/>
        </w:rPr>
        <w:t xml:space="preserve">1. července až 30. září </w:t>
      </w:r>
      <w:r>
        <w:rPr>
          <w:sz w:val="22"/>
          <w:szCs w:val="22"/>
        </w:rPr>
        <w:t>vždy nejpozději do</w:t>
      </w:r>
      <w:r w:rsidR="001659DF">
        <w:rPr>
          <w:sz w:val="22"/>
          <w:szCs w:val="22"/>
        </w:rPr>
        <w:t xml:space="preserve"> 31. 10.</w:t>
      </w:r>
      <w:r>
        <w:rPr>
          <w:sz w:val="22"/>
          <w:szCs w:val="22"/>
        </w:rPr>
        <w:t xml:space="preserve">, za období </w:t>
      </w:r>
      <w:r w:rsidR="001659DF">
        <w:rPr>
          <w:sz w:val="22"/>
          <w:szCs w:val="22"/>
        </w:rPr>
        <w:t xml:space="preserve">1. října až 31. prosince </w:t>
      </w:r>
      <w:r>
        <w:rPr>
          <w:sz w:val="22"/>
          <w:szCs w:val="22"/>
        </w:rPr>
        <w:t>vždy nejpozději do</w:t>
      </w:r>
      <w:r w:rsidR="001659DF">
        <w:rPr>
          <w:sz w:val="22"/>
          <w:szCs w:val="22"/>
        </w:rPr>
        <w:t xml:space="preserve"> 31. 3. následujícího roku</w:t>
      </w:r>
    </w:p>
    <w:p w:rsidR="00DC05DF" w:rsidRDefault="00DC05DF">
      <w:pPr>
        <w:rPr>
          <w:sz w:val="22"/>
          <w:szCs w:val="22"/>
        </w:rPr>
      </w:pPr>
    </w:p>
    <w:p w:rsidR="00DC05DF" w:rsidRDefault="00DC05DF">
      <w:pPr>
        <w:rPr>
          <w:rFonts w:ascii="Arial" w:hAnsi="Arial" w:cs="Arial"/>
          <w:sz w:val="22"/>
          <w:szCs w:val="22"/>
          <w:lang w:eastAsia="en-US"/>
        </w:rPr>
      </w:pPr>
    </w:p>
    <w:p w:rsidR="0033606D" w:rsidRDefault="0033606D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8B4BB6" w:rsidRDefault="008B4BB6" w:rsidP="008B4BB6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E1767B" w:rsidRPr="00555DE5" w:rsidTr="00F45554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1767B" w:rsidRPr="00555DE5" w:rsidRDefault="00E1767B" w:rsidP="00F455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1767B" w:rsidRPr="00555DE5" w:rsidRDefault="00E1767B" w:rsidP="00F4555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1767B" w:rsidRPr="00555DE5" w:rsidRDefault="00E1767B" w:rsidP="00F4555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E1767B" w:rsidRPr="00555DE5" w:rsidTr="00F45554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1767B" w:rsidRPr="00555DE5" w:rsidRDefault="00E1767B" w:rsidP="00F455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67B" w:rsidRPr="00555DE5" w:rsidRDefault="00E1767B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767B" w:rsidRPr="00555DE5" w:rsidRDefault="00E1767B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1767B" w:rsidRPr="00555DE5" w:rsidTr="00F45554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1767B" w:rsidRPr="00555DE5" w:rsidRDefault="00E1767B" w:rsidP="00F455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67B" w:rsidRPr="00555DE5" w:rsidRDefault="00E1767B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67B" w:rsidRPr="00555DE5" w:rsidRDefault="00E1767B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1767B" w:rsidRPr="00555DE5" w:rsidTr="00F45554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1767B" w:rsidRPr="00555DE5" w:rsidRDefault="00E1767B" w:rsidP="00F455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67B" w:rsidRPr="00555DE5" w:rsidRDefault="00E1767B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67B" w:rsidRPr="00555DE5" w:rsidRDefault="00E1767B" w:rsidP="00F4555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B4BB6" w:rsidRPr="00324D70" w:rsidRDefault="008B4BB6" w:rsidP="00F86536">
      <w:pPr>
        <w:spacing w:after="120"/>
      </w:pPr>
    </w:p>
    <w:sectPr w:rsidR="008B4BB6" w:rsidRPr="00324D70" w:rsidSect="00B425CB">
      <w:pgSz w:w="11907" w:h="16839" w:code="9"/>
      <w:pgMar w:top="851" w:right="1247" w:bottom="1021" w:left="1247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01" w:rsidRDefault="00701901">
      <w:r>
        <w:separator/>
      </w:r>
    </w:p>
  </w:endnote>
  <w:endnote w:type="continuationSeparator" w:id="0">
    <w:p w:rsidR="00701901" w:rsidRDefault="0070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91365C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01" w:rsidRDefault="00701901">
      <w:r>
        <w:separator/>
      </w:r>
    </w:p>
  </w:footnote>
  <w:footnote w:type="continuationSeparator" w:id="0">
    <w:p w:rsidR="00701901" w:rsidRDefault="0070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282CA6E4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>
    <w:nsid w:val="3A88424E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8787E20"/>
    <w:multiLevelType w:val="multilevel"/>
    <w:tmpl w:val="678606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9"/>
  </w:num>
  <w:num w:numId="15">
    <w:abstractNumId w:val="21"/>
  </w:num>
  <w:num w:numId="16">
    <w:abstractNumId w:val="0"/>
  </w:num>
  <w:num w:numId="17">
    <w:abstractNumId w:val="22"/>
  </w:num>
  <w:num w:numId="18">
    <w:abstractNumId w:val="18"/>
  </w:num>
  <w:num w:numId="19">
    <w:abstractNumId w:val="3"/>
  </w:num>
  <w:num w:numId="20">
    <w:abstractNumId w:val="5"/>
  </w:num>
  <w:num w:numId="21">
    <w:abstractNumId w:val="15"/>
  </w:num>
  <w:num w:numId="22">
    <w:abstractNumId w:val="1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20C4"/>
    <w:rsid w:val="000443CB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7B74"/>
    <w:rsid w:val="000D3005"/>
    <w:rsid w:val="000D3A08"/>
    <w:rsid w:val="000D5793"/>
    <w:rsid w:val="000D7364"/>
    <w:rsid w:val="000D75C0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E31"/>
    <w:rsid w:val="00157909"/>
    <w:rsid w:val="00157B5B"/>
    <w:rsid w:val="00163361"/>
    <w:rsid w:val="001659DF"/>
    <w:rsid w:val="00166F17"/>
    <w:rsid w:val="00170A19"/>
    <w:rsid w:val="00171140"/>
    <w:rsid w:val="001711BB"/>
    <w:rsid w:val="001711D7"/>
    <w:rsid w:val="0017264A"/>
    <w:rsid w:val="00172C33"/>
    <w:rsid w:val="00173C2A"/>
    <w:rsid w:val="00182923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6997"/>
    <w:rsid w:val="001B0CB3"/>
    <w:rsid w:val="001B2146"/>
    <w:rsid w:val="001B7530"/>
    <w:rsid w:val="001C0032"/>
    <w:rsid w:val="001C26DE"/>
    <w:rsid w:val="001C2AD6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D70"/>
    <w:rsid w:val="003265F4"/>
    <w:rsid w:val="00326D98"/>
    <w:rsid w:val="00327CD1"/>
    <w:rsid w:val="0033332D"/>
    <w:rsid w:val="00334A35"/>
    <w:rsid w:val="0033606D"/>
    <w:rsid w:val="0033719B"/>
    <w:rsid w:val="00341D6D"/>
    <w:rsid w:val="0034744D"/>
    <w:rsid w:val="00351A0A"/>
    <w:rsid w:val="00351F5B"/>
    <w:rsid w:val="003527EA"/>
    <w:rsid w:val="00353279"/>
    <w:rsid w:val="003546B0"/>
    <w:rsid w:val="00356D04"/>
    <w:rsid w:val="003641A2"/>
    <w:rsid w:val="0037576F"/>
    <w:rsid w:val="003814A3"/>
    <w:rsid w:val="00382FCC"/>
    <w:rsid w:val="00386E2F"/>
    <w:rsid w:val="003873A7"/>
    <w:rsid w:val="00390AEA"/>
    <w:rsid w:val="0039334D"/>
    <w:rsid w:val="003940C3"/>
    <w:rsid w:val="003A13FD"/>
    <w:rsid w:val="003A1B8D"/>
    <w:rsid w:val="003A27B7"/>
    <w:rsid w:val="003A36CC"/>
    <w:rsid w:val="003A5236"/>
    <w:rsid w:val="003A63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3F3617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437"/>
    <w:rsid w:val="00462934"/>
    <w:rsid w:val="0046346F"/>
    <w:rsid w:val="00463C41"/>
    <w:rsid w:val="004653B7"/>
    <w:rsid w:val="004700F5"/>
    <w:rsid w:val="00476A23"/>
    <w:rsid w:val="004829F2"/>
    <w:rsid w:val="00490465"/>
    <w:rsid w:val="004904B2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46B6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267"/>
    <w:rsid w:val="0052227E"/>
    <w:rsid w:val="005227E2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2341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3327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314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51A92"/>
    <w:rsid w:val="006520A4"/>
    <w:rsid w:val="00652FF4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72A8"/>
    <w:rsid w:val="006E07B6"/>
    <w:rsid w:val="006E1EE0"/>
    <w:rsid w:val="006E6011"/>
    <w:rsid w:val="006E7F43"/>
    <w:rsid w:val="006F0A34"/>
    <w:rsid w:val="006F1414"/>
    <w:rsid w:val="007010E9"/>
    <w:rsid w:val="00701901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C"/>
    <w:rsid w:val="00764D89"/>
    <w:rsid w:val="00765583"/>
    <w:rsid w:val="00767586"/>
    <w:rsid w:val="007735CE"/>
    <w:rsid w:val="00773D24"/>
    <w:rsid w:val="00773E45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4EB1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B2C24"/>
    <w:rsid w:val="008B4BB6"/>
    <w:rsid w:val="008B783A"/>
    <w:rsid w:val="008B7E6C"/>
    <w:rsid w:val="008C00A7"/>
    <w:rsid w:val="008C5990"/>
    <w:rsid w:val="008D2ECB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365C"/>
    <w:rsid w:val="0091405D"/>
    <w:rsid w:val="0091485B"/>
    <w:rsid w:val="0091485E"/>
    <w:rsid w:val="00915ADE"/>
    <w:rsid w:val="009230CA"/>
    <w:rsid w:val="009260F6"/>
    <w:rsid w:val="009304D4"/>
    <w:rsid w:val="00942404"/>
    <w:rsid w:val="009467E9"/>
    <w:rsid w:val="0095042B"/>
    <w:rsid w:val="009507F0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2439"/>
    <w:rsid w:val="0098325D"/>
    <w:rsid w:val="0098475B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D5BBD"/>
    <w:rsid w:val="009E6A2F"/>
    <w:rsid w:val="009E7143"/>
    <w:rsid w:val="009E75F3"/>
    <w:rsid w:val="009F39BC"/>
    <w:rsid w:val="009F4773"/>
    <w:rsid w:val="009F7C10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2D2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F0338"/>
    <w:rsid w:val="00AF6E63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25CB"/>
    <w:rsid w:val="00B42860"/>
    <w:rsid w:val="00B4400B"/>
    <w:rsid w:val="00B4710E"/>
    <w:rsid w:val="00B52901"/>
    <w:rsid w:val="00B547E0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711C4"/>
    <w:rsid w:val="00C7590A"/>
    <w:rsid w:val="00C7605B"/>
    <w:rsid w:val="00C77B34"/>
    <w:rsid w:val="00C77EDD"/>
    <w:rsid w:val="00C81187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2B80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5DF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1767B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663"/>
    <w:rsid w:val="00EF30C6"/>
    <w:rsid w:val="00EF37F8"/>
    <w:rsid w:val="00EF74A7"/>
    <w:rsid w:val="00F075D8"/>
    <w:rsid w:val="00F07E8E"/>
    <w:rsid w:val="00F1264E"/>
    <w:rsid w:val="00F1598B"/>
    <w:rsid w:val="00F15AC4"/>
    <w:rsid w:val="00F17AA7"/>
    <w:rsid w:val="00F2035D"/>
    <w:rsid w:val="00F23019"/>
    <w:rsid w:val="00F234E9"/>
    <w:rsid w:val="00F24235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2931"/>
    <w:rsid w:val="00FB36BA"/>
    <w:rsid w:val="00FB5126"/>
    <w:rsid w:val="00FB6986"/>
    <w:rsid w:val="00FC29F2"/>
    <w:rsid w:val="00FC45A9"/>
    <w:rsid w:val="00FC7F0C"/>
    <w:rsid w:val="00FD13CF"/>
    <w:rsid w:val="00FE1A89"/>
    <w:rsid w:val="00FE1D35"/>
    <w:rsid w:val="00FE4843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husek.ml@natur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ndrej.vitek@natur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B684B-E553-4F2A-9B8F-809C3313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3</cp:revision>
  <cp:lastPrinted>2014-08-18T11:03:00Z</cp:lastPrinted>
  <dcterms:created xsi:type="dcterms:W3CDTF">2018-06-29T06:08:00Z</dcterms:created>
  <dcterms:modified xsi:type="dcterms:W3CDTF">2018-06-29T06:11:00Z</dcterms:modified>
</cp:coreProperties>
</file>