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C5" w:rsidRPr="00D56F2C" w:rsidRDefault="00D56F2C">
      <w:pPr>
        <w:spacing w:after="361" w:line="259" w:lineRule="auto"/>
        <w:ind w:left="0" w:right="29" w:firstLine="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Smlouva o poskytování poradenských služeb</w:t>
      </w:r>
    </w:p>
    <w:p w:rsidR="00E145C5" w:rsidRPr="00D56F2C" w:rsidRDefault="00D56F2C">
      <w:pPr>
        <w:spacing w:after="0" w:line="259" w:lineRule="auto"/>
        <w:ind w:left="38" w:right="0" w:hanging="1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BDO Advisory s.r.o.</w:t>
      </w:r>
    </w:p>
    <w:p w:rsidR="00D56F2C" w:rsidRDefault="00D56F2C">
      <w:pPr>
        <w:spacing w:after="267"/>
        <w:ind w:left="28" w:right="43" w:firstLine="1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Se sídlem Karolinská 661/4, 186 00 Praha 8 </w:t>
      </w:r>
      <w:proofErr w:type="spellStart"/>
      <w:r w:rsidRPr="00D56F2C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č</w:t>
      </w:r>
      <w:proofErr w:type="spellEnd"/>
      <w:r w:rsidRPr="00D56F2C">
        <w:rPr>
          <w:rFonts w:asciiTheme="minorHAnsi" w:hAnsiTheme="minorHAnsi" w:cstheme="minorHAnsi"/>
          <w:szCs w:val="24"/>
        </w:rPr>
        <w:t xml:space="preserve">: 272 44 784 zapsaná do obchodního rejstříku vedeného Městským soudem v Praze, spisová značka C 107235, jednající panem Radovanem </w:t>
      </w:r>
      <w:proofErr w:type="spellStart"/>
      <w:r w:rsidRPr="00D56F2C">
        <w:rPr>
          <w:rFonts w:asciiTheme="minorHAnsi" w:hAnsiTheme="minorHAnsi" w:cstheme="minorHAnsi"/>
          <w:szCs w:val="24"/>
        </w:rPr>
        <w:t>Haukem</w:t>
      </w:r>
      <w:proofErr w:type="spellEnd"/>
      <w:r w:rsidRPr="00D56F2C">
        <w:rPr>
          <w:rFonts w:asciiTheme="minorHAnsi" w:hAnsiTheme="minorHAnsi" w:cstheme="minorHAnsi"/>
          <w:szCs w:val="24"/>
        </w:rPr>
        <w:t xml:space="preserve">, jednatelem </w:t>
      </w:r>
    </w:p>
    <w:p w:rsidR="00E145C5" w:rsidRPr="00D56F2C" w:rsidRDefault="00D56F2C">
      <w:pPr>
        <w:spacing w:after="267"/>
        <w:ind w:left="28" w:right="43" w:firstLine="1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dále jen „Poradce”</w:t>
      </w:r>
    </w:p>
    <w:p w:rsidR="00E145C5" w:rsidRPr="00D56F2C" w:rsidRDefault="00D56F2C">
      <w:pPr>
        <w:spacing w:after="184" w:line="259" w:lineRule="auto"/>
        <w:ind w:left="38" w:right="0" w:firstLine="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a</w:t>
      </w:r>
    </w:p>
    <w:p w:rsidR="00E145C5" w:rsidRPr="00D56F2C" w:rsidRDefault="00D56F2C">
      <w:pPr>
        <w:spacing w:after="0" w:line="259" w:lineRule="auto"/>
        <w:ind w:left="38" w:right="0" w:hanging="1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Pedagogicko-psychologická poradna pro Pra</w:t>
      </w:r>
      <w:r w:rsidRPr="00D56F2C">
        <w:rPr>
          <w:rFonts w:asciiTheme="minorHAnsi" w:hAnsiTheme="minorHAnsi" w:cstheme="minorHAnsi"/>
          <w:szCs w:val="24"/>
        </w:rPr>
        <w:t>hu 10</w:t>
      </w:r>
    </w:p>
    <w:p w:rsidR="00D56F2C" w:rsidRDefault="00D56F2C">
      <w:pPr>
        <w:spacing w:after="5" w:line="221" w:lineRule="auto"/>
        <w:ind w:left="33" w:right="2333" w:hanging="5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Se sídlem Jabloňová 3141/</w:t>
      </w:r>
      <w:proofErr w:type="gramStart"/>
      <w:r w:rsidRPr="00D56F2C">
        <w:rPr>
          <w:rFonts w:asciiTheme="minorHAnsi" w:hAnsiTheme="minorHAnsi" w:cstheme="minorHAnsi"/>
          <w:szCs w:val="24"/>
        </w:rPr>
        <w:t>30a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, Záběhlice, Praha 10, 106 00 Praha </w:t>
      </w:r>
    </w:p>
    <w:p w:rsidR="00E145C5" w:rsidRPr="00D56F2C" w:rsidRDefault="00D56F2C">
      <w:pPr>
        <w:spacing w:after="5" w:line="221" w:lineRule="auto"/>
        <w:ind w:left="33" w:right="2333" w:hanging="5"/>
        <w:rPr>
          <w:rFonts w:asciiTheme="minorHAnsi" w:hAnsiTheme="minorHAnsi" w:cstheme="minorHAnsi"/>
          <w:szCs w:val="24"/>
        </w:rPr>
      </w:pPr>
      <w:proofErr w:type="spellStart"/>
      <w:r w:rsidRPr="00D56F2C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č</w:t>
      </w:r>
      <w:proofErr w:type="spellEnd"/>
      <w:r w:rsidRPr="00D56F2C">
        <w:rPr>
          <w:rFonts w:asciiTheme="minorHAnsi" w:hAnsiTheme="minorHAnsi" w:cstheme="minorHAnsi"/>
          <w:szCs w:val="24"/>
        </w:rPr>
        <w:t>: 60461926</w:t>
      </w:r>
    </w:p>
    <w:p w:rsidR="00E145C5" w:rsidRPr="00D56F2C" w:rsidRDefault="00D56F2C">
      <w:pPr>
        <w:spacing w:after="251"/>
        <w:ind w:left="28" w:right="43" w:firstLine="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Zastoupena: Mgr. Pavla Kubíčková, ředitelka</w:t>
      </w:r>
    </w:p>
    <w:p w:rsidR="00E145C5" w:rsidRPr="00D56F2C" w:rsidRDefault="00D56F2C">
      <w:pPr>
        <w:spacing w:after="587"/>
        <w:ind w:left="28" w:right="43" w:firstLine="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dále jen „Klient”</w:t>
      </w:r>
    </w:p>
    <w:p w:rsidR="00E145C5" w:rsidRPr="00D56F2C" w:rsidRDefault="00D56F2C">
      <w:pPr>
        <w:spacing w:after="465" w:line="221" w:lineRule="auto"/>
        <w:ind w:left="33" w:right="33" w:hanging="5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Poradce a Klient (dále společně jen "Smluvní strany) uzavírají tuto Smlouvu o poradenské činnosti (dále jen "Sm</w:t>
      </w:r>
      <w:r w:rsidRPr="00D56F2C">
        <w:rPr>
          <w:rFonts w:asciiTheme="minorHAnsi" w:hAnsiTheme="minorHAnsi" w:cstheme="minorHAnsi"/>
          <w:szCs w:val="24"/>
        </w:rPr>
        <w:t>louva") ve smyslu ustanovení S 1 746 odst. 2. zákona č. 89/2012 Sb., občanský zákoník, ve znění pozdějších předpisů (dále jen "Občanský zákoník”)</w:t>
      </w:r>
    </w:p>
    <w:p w:rsidR="00E145C5" w:rsidRPr="00D56F2C" w:rsidRDefault="00D56F2C">
      <w:pPr>
        <w:spacing w:after="5" w:line="259" w:lineRule="auto"/>
        <w:ind w:left="44" w:right="62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Článek I.</w:t>
      </w:r>
    </w:p>
    <w:p w:rsidR="00E145C5" w:rsidRPr="00D56F2C" w:rsidRDefault="00D56F2C">
      <w:pPr>
        <w:pStyle w:val="Nadpis1"/>
        <w:ind w:left="44" w:right="43"/>
        <w:rPr>
          <w:rFonts w:asciiTheme="minorHAnsi" w:hAnsiTheme="minorHAnsi" w:cstheme="minorHAnsi"/>
          <w:sz w:val="24"/>
          <w:szCs w:val="24"/>
        </w:rPr>
      </w:pPr>
      <w:r w:rsidRPr="00D56F2C">
        <w:rPr>
          <w:rFonts w:asciiTheme="minorHAnsi" w:hAnsiTheme="minorHAnsi" w:cstheme="minorHAnsi"/>
          <w:sz w:val="24"/>
          <w:szCs w:val="24"/>
        </w:rPr>
        <w:t>Předmět Smlouvy</w:t>
      </w:r>
    </w:p>
    <w:p w:rsidR="00E145C5" w:rsidRPr="00D56F2C" w:rsidRDefault="00D56F2C">
      <w:pPr>
        <w:spacing w:after="33"/>
        <w:ind w:left="566" w:right="43"/>
        <w:rPr>
          <w:rFonts w:asciiTheme="minorHAnsi" w:hAnsiTheme="minorHAnsi" w:cstheme="minorHAnsi"/>
          <w:szCs w:val="24"/>
        </w:rPr>
      </w:pPr>
      <w:proofErr w:type="gramStart"/>
      <w:r w:rsidRPr="00D56F2C">
        <w:rPr>
          <w:rFonts w:asciiTheme="minorHAnsi" w:hAnsiTheme="minorHAnsi" w:cstheme="minorHAnsi"/>
          <w:szCs w:val="24"/>
        </w:rPr>
        <w:t>1 .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D56F2C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D56F2C">
        <w:rPr>
          <w:rFonts w:asciiTheme="minorHAnsi" w:hAnsiTheme="minorHAnsi" w:cstheme="minorHAnsi"/>
          <w:szCs w:val="24"/>
        </w:rPr>
        <w:t>Il</w:t>
      </w:r>
      <w:proofErr w:type="spellEnd"/>
      <w:r w:rsidRPr="00D56F2C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E145C5" w:rsidRPr="00D56F2C" w:rsidRDefault="00D56F2C">
      <w:pPr>
        <w:numPr>
          <w:ilvl w:val="0"/>
          <w:numId w:val="1"/>
        </w:numPr>
        <w:spacing w:after="108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Klient se zavazuje zaplatit Poradci za jím proveden</w:t>
      </w:r>
      <w:r w:rsidRPr="00D56F2C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E145C5" w:rsidRPr="00D56F2C" w:rsidRDefault="00D56F2C">
      <w:pPr>
        <w:numPr>
          <w:ilvl w:val="0"/>
          <w:numId w:val="1"/>
        </w:numPr>
        <w:spacing w:after="474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D56F2C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E145C5" w:rsidRPr="00D56F2C" w:rsidRDefault="00D56F2C">
      <w:pPr>
        <w:spacing w:after="5" w:line="259" w:lineRule="auto"/>
        <w:ind w:left="44" w:right="58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56F2C">
        <w:rPr>
          <w:rFonts w:asciiTheme="minorHAnsi" w:hAnsiTheme="minorHAnsi" w:cstheme="minorHAnsi"/>
          <w:szCs w:val="24"/>
        </w:rPr>
        <w:t>Il</w:t>
      </w:r>
      <w:proofErr w:type="spellEnd"/>
      <w:r w:rsidRPr="00D56F2C">
        <w:rPr>
          <w:rFonts w:asciiTheme="minorHAnsi" w:hAnsiTheme="minorHAnsi" w:cstheme="minorHAnsi"/>
          <w:szCs w:val="24"/>
        </w:rPr>
        <w:t>.</w:t>
      </w:r>
    </w:p>
    <w:p w:rsidR="00E145C5" w:rsidRPr="00D56F2C" w:rsidRDefault="00D56F2C">
      <w:pPr>
        <w:spacing w:after="344" w:line="259" w:lineRule="auto"/>
        <w:ind w:left="44" w:right="43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Poskytované služby</w:t>
      </w:r>
    </w:p>
    <w:p w:rsidR="00E145C5" w:rsidRPr="00D56F2C" w:rsidRDefault="00D56F2C">
      <w:pPr>
        <w:ind w:left="749" w:right="43" w:hanging="336"/>
        <w:rPr>
          <w:rFonts w:asciiTheme="minorHAnsi" w:hAnsiTheme="minorHAnsi" w:cstheme="minorHAnsi"/>
          <w:szCs w:val="24"/>
        </w:rPr>
      </w:pPr>
      <w:proofErr w:type="gramStart"/>
      <w:r w:rsidRPr="00D56F2C">
        <w:rPr>
          <w:rFonts w:asciiTheme="minorHAnsi" w:hAnsiTheme="minorHAnsi" w:cstheme="minorHAnsi"/>
          <w:szCs w:val="24"/>
        </w:rPr>
        <w:t>1 .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 </w:t>
      </w:r>
      <w:r w:rsidRPr="00D56F2C">
        <w:rPr>
          <w:rFonts w:asciiTheme="minorHAnsi" w:hAnsiTheme="minorHAnsi" w:cstheme="minorHAnsi"/>
          <w:szCs w:val="24"/>
        </w:rPr>
        <w:t>Poradce se zavazuje poskytovat, dle tét</w:t>
      </w:r>
      <w:r w:rsidRPr="00D56F2C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</w:t>
      </w:r>
    </w:p>
    <w:p w:rsidR="00E145C5" w:rsidRPr="00D56F2C" w:rsidRDefault="00D56F2C">
      <w:pPr>
        <w:spacing w:after="389"/>
        <w:ind w:left="730" w:right="43" w:firstLine="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se zpracováním osobních údajů a o volném pohybu těc</w:t>
      </w:r>
      <w:r w:rsidRPr="00D56F2C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E145C5" w:rsidRPr="00D56F2C" w:rsidRDefault="00D56F2C">
      <w:pPr>
        <w:ind w:left="1445" w:right="43" w:hanging="432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19" cy="100589"/>
            <wp:effectExtent l="0" t="0" r="0" b="0"/>
            <wp:docPr id="36836" name="Picture 36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6" name="Picture 368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F2C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E145C5" w:rsidRPr="00D56F2C" w:rsidRDefault="00D56F2C">
      <w:pPr>
        <w:spacing w:after="10"/>
        <w:ind w:left="1449" w:right="43" w:hanging="427"/>
        <w:rPr>
          <w:rFonts w:asciiTheme="minorHAnsi" w:hAnsiTheme="minorHAnsi" w:cstheme="minorHAnsi"/>
          <w:szCs w:val="24"/>
        </w:rPr>
      </w:pPr>
      <w:proofErr w:type="spellStart"/>
      <w:r w:rsidRPr="00D56F2C">
        <w:rPr>
          <w:rFonts w:asciiTheme="minorHAnsi" w:hAnsiTheme="minorHAnsi" w:cstheme="minorHAnsi"/>
          <w:szCs w:val="24"/>
        </w:rPr>
        <w:t>ii</w:t>
      </w:r>
      <w:proofErr w:type="spellEnd"/>
      <w:r w:rsidRPr="00D56F2C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E145C5" w:rsidRPr="00D56F2C" w:rsidRDefault="00D56F2C">
      <w:pPr>
        <w:numPr>
          <w:ilvl w:val="0"/>
          <w:numId w:val="2"/>
        </w:numPr>
        <w:spacing w:after="26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D56F2C">
        <w:rPr>
          <w:rFonts w:asciiTheme="minorHAnsi" w:hAnsiTheme="minorHAnsi" w:cstheme="minorHAnsi"/>
          <w:szCs w:val="24"/>
        </w:rPr>
        <w:t>ních údajů (dále také „GDPR”), které vstoupilo v platnost dne 24. května 2016 a vnitrostátních právních předpisů na ochranu osobních údajů, a to zejména činností „Pověřence na ochranu osobních údajů" s cílem monitorování souladu s Obecným nařízením o ochra</w:t>
      </w:r>
      <w:r w:rsidRPr="00D56F2C">
        <w:rPr>
          <w:rFonts w:asciiTheme="minorHAnsi" w:hAnsiTheme="minorHAnsi" w:cstheme="minorHAnsi"/>
          <w:szCs w:val="24"/>
        </w:rPr>
        <w:t>ně osobních údajů (GDPR), a to v rozsahu:</w:t>
      </w:r>
    </w:p>
    <w:p w:rsidR="00E145C5" w:rsidRPr="00D56F2C" w:rsidRDefault="00D56F2C">
      <w:pPr>
        <w:ind w:left="1464" w:right="43" w:hanging="427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6838" name="Picture 36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8" name="Picture 368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F2C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E145C5" w:rsidRPr="00D56F2C" w:rsidRDefault="00D56F2C">
      <w:pPr>
        <w:numPr>
          <w:ilvl w:val="1"/>
          <w:numId w:val="2"/>
        </w:numPr>
        <w:ind w:right="43" w:hanging="437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průběžné monitorování souladu Klienta s nařízením GDPR v oblasti ochrany osobníc</w:t>
      </w:r>
      <w:r w:rsidRPr="00D56F2C">
        <w:rPr>
          <w:rFonts w:asciiTheme="minorHAnsi" w:hAnsiTheme="minorHAnsi" w:cstheme="minorHAnsi"/>
          <w:szCs w:val="24"/>
        </w:rPr>
        <w:t>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zpracov</w:t>
      </w:r>
      <w:r w:rsidRPr="00D56F2C">
        <w:rPr>
          <w:rFonts w:asciiTheme="minorHAnsi" w:hAnsiTheme="minorHAnsi" w:cstheme="minorHAnsi"/>
          <w:szCs w:val="24"/>
        </w:rPr>
        <w:t>ání;</w:t>
      </w:r>
    </w:p>
    <w:p w:rsidR="00E145C5" w:rsidRPr="00D56F2C" w:rsidRDefault="00D56F2C">
      <w:pPr>
        <w:numPr>
          <w:ilvl w:val="1"/>
          <w:numId w:val="2"/>
        </w:numPr>
        <w:ind w:right="43" w:hanging="437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E145C5" w:rsidRPr="00D56F2C" w:rsidRDefault="00D56F2C">
      <w:pPr>
        <w:numPr>
          <w:ilvl w:val="1"/>
          <w:numId w:val="2"/>
        </w:numPr>
        <w:spacing w:after="119"/>
        <w:ind w:right="43" w:hanging="437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spolupráce a komunikace s dozorovým úřadem; poradenská</w:t>
      </w:r>
      <w:r w:rsidRPr="00D56F2C">
        <w:rPr>
          <w:rFonts w:asciiTheme="minorHAnsi" w:hAnsiTheme="minorHAnsi" w:cstheme="minorHAnsi"/>
          <w:szCs w:val="24"/>
        </w:rPr>
        <w:t xml:space="preserve"> činnost při řízení před dozorovým úřadem nebo soudem;</w:t>
      </w:r>
    </w:p>
    <w:p w:rsidR="00E145C5" w:rsidRPr="00D56F2C" w:rsidRDefault="00D56F2C">
      <w:pPr>
        <w:numPr>
          <w:ilvl w:val="1"/>
          <w:numId w:val="2"/>
        </w:numPr>
        <w:ind w:right="43" w:hanging="437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D56F2C">
        <w:rPr>
          <w:rFonts w:asciiTheme="minorHAnsi" w:hAnsiTheme="minorHAnsi" w:cstheme="minorHAnsi"/>
          <w:szCs w:val="24"/>
        </w:rPr>
        <w:t>se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E145C5" w:rsidRPr="00D56F2C" w:rsidRDefault="00D56F2C">
      <w:pPr>
        <w:numPr>
          <w:ilvl w:val="1"/>
          <w:numId w:val="2"/>
        </w:numPr>
        <w:spacing w:after="26"/>
        <w:ind w:right="43" w:hanging="437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působení jako kontaktní osoba Klienta,</w:t>
      </w:r>
      <w:r w:rsidRPr="00D56F2C">
        <w:rPr>
          <w:rFonts w:asciiTheme="minorHAnsi" w:hAnsiTheme="minorHAnsi" w:cstheme="minorHAnsi"/>
          <w:szCs w:val="24"/>
        </w:rPr>
        <w:t xml:space="preserve"> resp. zaměstnavatele pro subjekty údajů ve všech záležitostech souvisejících se zpracováním jejich osobních údajů a výkonem jejich práv podle GDPR.</w:t>
      </w:r>
    </w:p>
    <w:p w:rsidR="00E145C5" w:rsidRPr="00D56F2C" w:rsidRDefault="00D56F2C">
      <w:pPr>
        <w:numPr>
          <w:ilvl w:val="1"/>
          <w:numId w:val="2"/>
        </w:numPr>
        <w:ind w:right="43" w:hanging="437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</w:t>
      </w:r>
      <w:r w:rsidRPr="00D56F2C">
        <w:rPr>
          <w:rFonts w:asciiTheme="minorHAnsi" w:hAnsiTheme="minorHAnsi" w:cstheme="minorHAnsi"/>
          <w:szCs w:val="24"/>
        </w:rPr>
        <w:t>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aktu</w:t>
      </w:r>
      <w:r w:rsidRPr="00D56F2C">
        <w:rPr>
          <w:rFonts w:asciiTheme="minorHAnsi" w:hAnsiTheme="minorHAnsi" w:cstheme="minorHAnsi"/>
          <w:szCs w:val="24"/>
        </w:rPr>
        <w:t>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Úřa</w:t>
      </w:r>
      <w:r w:rsidRPr="00D56F2C">
        <w:rPr>
          <w:rFonts w:asciiTheme="minorHAnsi" w:hAnsiTheme="minorHAnsi" w:cstheme="minorHAnsi"/>
          <w:szCs w:val="24"/>
        </w:rPr>
        <w:t>du pro ochranu osobních údajů a orgánů Evropské unie a rozhodovací činnost soudů v oblasti ochrany osobních údajů a přiměřeným způsobem o těchto skutečnostech informuje zaměstnavatele a ostatní zaměstnance. Pověřenec sleduje vývoj technologií souvisejících</w:t>
      </w:r>
      <w:r w:rsidRPr="00D56F2C">
        <w:rPr>
          <w:rFonts w:asciiTheme="minorHAnsi" w:hAnsiTheme="minorHAnsi" w:cstheme="minorHAnsi"/>
          <w:szCs w:val="24"/>
        </w:rPr>
        <w:t xml:space="preserve">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bezpečnostníc</w:t>
      </w:r>
      <w:r w:rsidRPr="00D56F2C">
        <w:rPr>
          <w:rFonts w:asciiTheme="minorHAnsi" w:hAnsiTheme="minorHAnsi" w:cstheme="minorHAnsi"/>
          <w:szCs w:val="24"/>
        </w:rPr>
        <w:t>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</w:t>
      </w:r>
      <w:r w:rsidRPr="00D56F2C">
        <w:rPr>
          <w:rFonts w:asciiTheme="minorHAnsi" w:hAnsiTheme="minorHAnsi" w:cstheme="minorHAnsi"/>
          <w:szCs w:val="24"/>
        </w:rPr>
        <w:t xml:space="preserve">formačních a komunikačních technologií s pravidly ochrany </w:t>
      </w:r>
      <w:r w:rsidRPr="00D56F2C">
        <w:rPr>
          <w:rFonts w:asciiTheme="minorHAnsi" w:hAnsiTheme="minorHAnsi" w:cstheme="minorHAnsi"/>
          <w:szCs w:val="24"/>
        </w:rPr>
        <w:lastRenderedPageBreak/>
        <w:t>osobních údajů. Pověřenec přijímá a vyhodnocuje podání subjektů údajů v záležitostech souvisejících se zpracováním jejich osobních údajů a výkonem jejich práv podle GDPR. V případě, že nemůže podání</w:t>
      </w:r>
      <w:r w:rsidRPr="00D56F2C">
        <w:rPr>
          <w:rFonts w:asciiTheme="minorHAnsi" w:hAnsiTheme="minorHAnsi" w:cstheme="minorHAnsi"/>
          <w:szCs w:val="24"/>
        </w:rPr>
        <w:t xml:space="preserve"> vyřídit sám, postupuje je v souladu s vnitřními předpisy zaměstnavatele k vyřízení příslušným útvarům, popřípadě si vyžádá od příslušných útvarů podkladová stanoviska a následně podání vyřizuje. Pověřenec vede záznamy o činnostech zpracování podle čl. 30 </w:t>
      </w:r>
      <w:r w:rsidRPr="00D56F2C">
        <w:rPr>
          <w:rFonts w:asciiTheme="minorHAnsi" w:hAnsiTheme="minorHAnsi" w:cstheme="minorHAnsi"/>
          <w:szCs w:val="24"/>
        </w:rPr>
        <w:t>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oso</w:t>
      </w:r>
      <w:r w:rsidRPr="00D56F2C">
        <w:rPr>
          <w:rFonts w:asciiTheme="minorHAnsi" w:hAnsiTheme="minorHAnsi" w:cstheme="minorHAnsi"/>
          <w:szCs w:val="24"/>
        </w:rPr>
        <w:t>bních údajů (čl. 33 GDPR) a oznamovat porušení zabezpečení osobních údajů subjektům osobních údajů (čl. 34 GDPR).</w:t>
      </w:r>
    </w:p>
    <w:p w:rsidR="00E145C5" w:rsidRPr="00D56F2C" w:rsidRDefault="00D56F2C">
      <w:pPr>
        <w:numPr>
          <w:ilvl w:val="0"/>
          <w:numId w:val="2"/>
        </w:numPr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E145C5" w:rsidRPr="00D56F2C" w:rsidRDefault="00D56F2C">
      <w:pPr>
        <w:numPr>
          <w:ilvl w:val="0"/>
          <w:numId w:val="2"/>
        </w:numPr>
        <w:spacing w:after="132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Smluvní strany se dohodly, že ja</w:t>
      </w:r>
      <w:r w:rsidRPr="00D56F2C">
        <w:rPr>
          <w:rFonts w:asciiTheme="minorHAnsi" w:hAnsiTheme="minorHAnsi" w:cstheme="minorHAnsi"/>
          <w:szCs w:val="24"/>
        </w:rPr>
        <w:t>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E145C5" w:rsidRPr="00D56F2C" w:rsidRDefault="00D56F2C">
      <w:pPr>
        <w:numPr>
          <w:ilvl w:val="0"/>
          <w:numId w:val="2"/>
        </w:numPr>
        <w:spacing w:after="818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Za rozšíření s</w:t>
      </w:r>
      <w:r w:rsidRPr="00D56F2C">
        <w:rPr>
          <w:rFonts w:asciiTheme="minorHAnsi" w:hAnsiTheme="minorHAnsi" w:cstheme="minorHAnsi"/>
          <w:szCs w:val="24"/>
        </w:rPr>
        <w:t xml:space="preserve">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</w:t>
      </w:r>
      <w:r w:rsidRPr="00D56F2C">
        <w:rPr>
          <w:rFonts w:asciiTheme="minorHAnsi" w:hAnsiTheme="minorHAnsi" w:cstheme="minorHAnsi"/>
          <w:szCs w:val="24"/>
        </w:rPr>
        <w:t>kodexy chování dle článku 40 obecného nařízení o ochraně osobních údajů.</w:t>
      </w:r>
    </w:p>
    <w:p w:rsidR="00E145C5" w:rsidRPr="00D56F2C" w:rsidRDefault="00D56F2C">
      <w:pPr>
        <w:spacing w:after="5" w:line="259" w:lineRule="auto"/>
        <w:ind w:left="44" w:right="53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56F2C">
        <w:rPr>
          <w:rFonts w:asciiTheme="minorHAnsi" w:hAnsiTheme="minorHAnsi" w:cstheme="minorHAnsi"/>
          <w:szCs w:val="24"/>
        </w:rPr>
        <w:t>Ill</w:t>
      </w:r>
      <w:proofErr w:type="spellEnd"/>
      <w:r w:rsidRPr="00D56F2C">
        <w:rPr>
          <w:rFonts w:asciiTheme="minorHAnsi" w:hAnsiTheme="minorHAnsi" w:cstheme="minorHAnsi"/>
          <w:szCs w:val="24"/>
        </w:rPr>
        <w:t>.</w:t>
      </w:r>
    </w:p>
    <w:p w:rsidR="00E145C5" w:rsidRPr="00D56F2C" w:rsidRDefault="00D56F2C">
      <w:pPr>
        <w:spacing w:after="311" w:line="259" w:lineRule="auto"/>
        <w:ind w:left="44" w:right="62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Práva a povinnosti Smluvních stran</w:t>
      </w:r>
    </w:p>
    <w:p w:rsidR="00E145C5" w:rsidRPr="00D56F2C" w:rsidRDefault="00D56F2C">
      <w:pPr>
        <w:ind w:left="566"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1 </w:t>
      </w:r>
      <w:r>
        <w:rPr>
          <w:rFonts w:asciiTheme="minorHAnsi" w:hAnsiTheme="minorHAnsi" w:cstheme="minorHAnsi"/>
          <w:szCs w:val="24"/>
        </w:rPr>
        <w:tab/>
      </w:r>
      <w:r w:rsidRPr="00D56F2C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E145C5" w:rsidRPr="00D56F2C" w:rsidRDefault="00D56F2C">
      <w:pPr>
        <w:numPr>
          <w:ilvl w:val="0"/>
          <w:numId w:val="3"/>
        </w:numPr>
        <w:spacing w:after="41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D56F2C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E145C5" w:rsidRPr="00D56F2C" w:rsidRDefault="00D56F2C">
      <w:pPr>
        <w:numPr>
          <w:ilvl w:val="0"/>
          <w:numId w:val="3"/>
        </w:numPr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E145C5" w:rsidRPr="00D56F2C" w:rsidRDefault="00D56F2C">
      <w:pPr>
        <w:numPr>
          <w:ilvl w:val="0"/>
          <w:numId w:val="3"/>
        </w:numPr>
        <w:spacing w:after="112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Poradce je povinen vykonávat či</w:t>
      </w:r>
      <w:r w:rsidRPr="00D56F2C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E145C5" w:rsidRPr="00D56F2C" w:rsidRDefault="00D56F2C">
      <w:pPr>
        <w:numPr>
          <w:ilvl w:val="0"/>
          <w:numId w:val="3"/>
        </w:numPr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E145C5" w:rsidRPr="00D56F2C" w:rsidRDefault="00D56F2C">
      <w:pPr>
        <w:numPr>
          <w:ilvl w:val="0"/>
          <w:numId w:val="3"/>
        </w:numPr>
        <w:spacing w:after="454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D56F2C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D56F2C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E145C5" w:rsidRPr="00D56F2C" w:rsidRDefault="00D56F2C">
      <w:pPr>
        <w:spacing w:after="35"/>
        <w:ind w:left="576" w:right="43" w:firstLine="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Kontaktní osobou na straně P</w:t>
      </w:r>
      <w:r w:rsidRPr="00D56F2C">
        <w:rPr>
          <w:rFonts w:asciiTheme="minorHAnsi" w:hAnsiTheme="minorHAnsi" w:cstheme="minorHAnsi"/>
          <w:szCs w:val="24"/>
        </w:rPr>
        <w:t>oradce je:</w:t>
      </w:r>
    </w:p>
    <w:p w:rsidR="00E145C5" w:rsidRPr="00D56F2C" w:rsidRDefault="00D56F2C">
      <w:pPr>
        <w:spacing w:after="444" w:line="259" w:lineRule="auto"/>
        <w:ind w:left="475" w:right="0" w:firstLine="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2075828" cy="658399"/>
            <wp:effectExtent l="0" t="0" r="0" b="0"/>
            <wp:docPr id="36841" name="Picture 36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1" name="Picture 368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5828" cy="6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C5" w:rsidRPr="00D56F2C" w:rsidRDefault="00D56F2C">
      <w:pPr>
        <w:spacing w:after="35"/>
        <w:ind w:left="586" w:right="43" w:firstLine="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Pověřenec:</w:t>
      </w:r>
    </w:p>
    <w:p w:rsidR="00E145C5" w:rsidRPr="00D56F2C" w:rsidRDefault="00D56F2C">
      <w:pPr>
        <w:spacing w:after="462" w:line="259" w:lineRule="auto"/>
        <w:ind w:left="528" w:right="0" w:firstLine="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99126" cy="691929"/>
            <wp:effectExtent l="0" t="0" r="0" b="0"/>
            <wp:docPr id="36843" name="Picture 3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3" name="Picture 368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126" cy="6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C5" w:rsidRPr="00D56F2C" w:rsidRDefault="00D56F2C">
      <w:pPr>
        <w:spacing w:after="171"/>
        <w:ind w:left="600" w:right="43" w:firstLine="0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Kontaktní osobou na straně Klienta je:</w:t>
      </w:r>
    </w:p>
    <w:p w:rsidR="00E145C5" w:rsidRPr="00D56F2C" w:rsidRDefault="00D56F2C">
      <w:pPr>
        <w:spacing w:after="818" w:line="259" w:lineRule="auto"/>
        <w:ind w:left="595" w:right="0" w:firstLine="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621456" cy="670592"/>
            <wp:effectExtent l="0" t="0" r="0" b="0"/>
            <wp:docPr id="36845" name="Picture 3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5" name="Picture 368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1456" cy="67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C5" w:rsidRPr="00D56F2C" w:rsidRDefault="00D56F2C">
      <w:pPr>
        <w:spacing w:after="5" w:line="259" w:lineRule="auto"/>
        <w:ind w:left="44" w:right="0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Článek IV.</w:t>
      </w:r>
    </w:p>
    <w:p w:rsidR="00E145C5" w:rsidRPr="00D56F2C" w:rsidRDefault="00D56F2C">
      <w:pPr>
        <w:pStyle w:val="Nadpis1"/>
        <w:spacing w:after="354"/>
        <w:ind w:left="44" w:right="0"/>
        <w:rPr>
          <w:rFonts w:asciiTheme="minorHAnsi" w:hAnsiTheme="minorHAnsi" w:cstheme="minorHAnsi"/>
          <w:sz w:val="24"/>
          <w:szCs w:val="24"/>
        </w:rPr>
      </w:pPr>
      <w:r w:rsidRPr="00D56F2C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E145C5" w:rsidRPr="00D56F2C" w:rsidRDefault="00D56F2C">
      <w:pPr>
        <w:spacing w:after="469"/>
        <w:ind w:left="566" w:right="43"/>
        <w:rPr>
          <w:rFonts w:asciiTheme="minorHAnsi" w:hAnsiTheme="minorHAnsi" w:cstheme="minorHAnsi"/>
          <w:szCs w:val="24"/>
        </w:rPr>
      </w:pPr>
      <w:proofErr w:type="gramStart"/>
      <w:r w:rsidRPr="00D56F2C">
        <w:rPr>
          <w:rFonts w:asciiTheme="minorHAnsi" w:hAnsiTheme="minorHAnsi" w:cstheme="minorHAnsi"/>
          <w:szCs w:val="24"/>
        </w:rPr>
        <w:t>1 .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 </w:t>
      </w:r>
      <w:r w:rsidRPr="00D56F2C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D56F2C">
        <w:rPr>
          <w:rFonts w:asciiTheme="minorHAnsi" w:hAnsiTheme="minorHAnsi" w:cstheme="minorHAnsi"/>
          <w:szCs w:val="24"/>
        </w:rPr>
        <w:t>Il</w:t>
      </w:r>
      <w:proofErr w:type="spellEnd"/>
      <w:r w:rsidRPr="00D56F2C">
        <w:rPr>
          <w:rFonts w:asciiTheme="minorHAnsi" w:hAnsiTheme="minorHAnsi" w:cstheme="minorHAnsi"/>
          <w:szCs w:val="24"/>
        </w:rPr>
        <w:t xml:space="preserve"> této Smlouvy odměnu dle</w:t>
      </w:r>
      <w:r>
        <w:rPr>
          <w:rFonts w:asciiTheme="minorHAnsi" w:hAnsiTheme="minorHAnsi" w:cstheme="minorHAnsi"/>
          <w:szCs w:val="24"/>
        </w:rPr>
        <w:t xml:space="preserve"> </w:t>
      </w:r>
      <w:r w:rsidRPr="00D56F2C">
        <w:rPr>
          <w:rFonts w:asciiTheme="minorHAnsi" w:hAnsiTheme="minorHAnsi" w:cstheme="minorHAnsi"/>
          <w:szCs w:val="24"/>
        </w:rPr>
        <w:t>následujícího:</w:t>
      </w:r>
    </w:p>
    <w:p w:rsidR="00E145C5" w:rsidRPr="00D56F2C" w:rsidRDefault="00D56F2C">
      <w:pPr>
        <w:ind w:left="1488" w:right="43" w:hanging="418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0588"/>
            <wp:effectExtent l="0" t="0" r="0" b="0"/>
            <wp:docPr id="36847" name="Picture 3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7" name="Picture 368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D56F2C">
        <w:rPr>
          <w:rFonts w:asciiTheme="minorHAnsi" w:hAnsiTheme="minorHAnsi" w:cstheme="minorHAnsi"/>
          <w:szCs w:val="24"/>
        </w:rPr>
        <w:t>za služby provedené dle čl. II., odst. 1. této Smlouvy jednorázovou odměnu v celkové výši 17 000,- Kč (bez DPH v zákonné výši) na základě faktury vystavené Poradcem se splatností 21 kalendářních dní ode dne doručení.</w:t>
      </w:r>
    </w:p>
    <w:p w:rsidR="00E145C5" w:rsidRPr="00D56F2C" w:rsidRDefault="00D56F2C">
      <w:pPr>
        <w:numPr>
          <w:ilvl w:val="0"/>
          <w:numId w:val="4"/>
        </w:numPr>
        <w:ind w:right="43" w:hanging="41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D56F2C">
        <w:rPr>
          <w:rFonts w:asciiTheme="minorHAnsi" w:hAnsiTheme="minorHAnsi" w:cstheme="minorHAnsi"/>
          <w:szCs w:val="24"/>
        </w:rPr>
        <w:t>2. této Smlouvy měsíční odměnu v celkové výši 2 500,- Kč (bez DPH v zákonné výši) na základě faktury vystavené Poradcem se splatností 21 kalendářních dní ode dne doručení.</w:t>
      </w:r>
    </w:p>
    <w:p w:rsidR="00E145C5" w:rsidRPr="00D56F2C" w:rsidRDefault="00D56F2C">
      <w:pPr>
        <w:numPr>
          <w:ilvl w:val="0"/>
          <w:numId w:val="4"/>
        </w:numPr>
        <w:spacing w:after="486"/>
        <w:ind w:right="43" w:hanging="41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Za služby provedené dle čl. II., odst. 3. této Smlouvy jednorázovou odměnu v celkové</w:t>
      </w:r>
      <w:r w:rsidRPr="00D56F2C">
        <w:rPr>
          <w:rFonts w:asciiTheme="minorHAnsi" w:hAnsiTheme="minorHAnsi" w:cstheme="minorHAnsi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</w:t>
      </w:r>
      <w:r w:rsidRPr="00D56F2C">
        <w:rPr>
          <w:rFonts w:asciiTheme="minorHAnsi" w:hAnsiTheme="minorHAnsi" w:cstheme="minorHAnsi"/>
          <w:szCs w:val="24"/>
        </w:rPr>
        <w:t>lení je možné využívat neomezeně po dobu devíti měsíců od podpisu této Smlouvy.</w:t>
      </w:r>
    </w:p>
    <w:p w:rsidR="00E145C5" w:rsidRPr="00D56F2C" w:rsidRDefault="00D56F2C">
      <w:pPr>
        <w:numPr>
          <w:ilvl w:val="0"/>
          <w:numId w:val="5"/>
        </w:numPr>
        <w:spacing w:after="58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</w:t>
      </w:r>
      <w:r w:rsidRPr="00D56F2C">
        <w:rPr>
          <w:rFonts w:asciiTheme="minorHAnsi" w:hAnsiTheme="minorHAnsi" w:cstheme="minorHAnsi"/>
          <w:szCs w:val="24"/>
        </w:rPr>
        <w:t xml:space="preserve">tnutím služeb dle této Smlouvy (tj. tel. hovorné, </w:t>
      </w:r>
      <w:proofErr w:type="spellStart"/>
      <w:r w:rsidRPr="00D56F2C">
        <w:rPr>
          <w:rFonts w:asciiTheme="minorHAnsi" w:hAnsiTheme="minorHAnsi" w:cstheme="minorHAnsi"/>
          <w:szCs w:val="24"/>
        </w:rPr>
        <w:t>faxovné</w:t>
      </w:r>
      <w:proofErr w:type="spellEnd"/>
      <w:r w:rsidRPr="00D56F2C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D56F2C">
        <w:rPr>
          <w:rFonts w:asciiTheme="minorHAnsi" w:hAnsiTheme="minorHAnsi" w:cstheme="minorHAnsi"/>
          <w:szCs w:val="24"/>
        </w:rPr>
        <w:t>fotokopírování</w:t>
      </w:r>
      <w:proofErr w:type="spellEnd"/>
      <w:r w:rsidRPr="00D56F2C">
        <w:rPr>
          <w:rFonts w:asciiTheme="minorHAnsi" w:hAnsiTheme="minorHAnsi" w:cstheme="minorHAnsi"/>
          <w:szCs w:val="24"/>
        </w:rPr>
        <w:t>, technické nosiče, a kancelářské potřeby).</w:t>
      </w:r>
    </w:p>
    <w:p w:rsidR="00E145C5" w:rsidRPr="00D56F2C" w:rsidRDefault="00D56F2C">
      <w:pPr>
        <w:numPr>
          <w:ilvl w:val="0"/>
          <w:numId w:val="5"/>
        </w:numPr>
        <w:spacing w:after="0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Bude-li Klient v prodlení s placením odm</w:t>
      </w:r>
      <w:r w:rsidRPr="00D56F2C">
        <w:rPr>
          <w:rFonts w:asciiTheme="minorHAnsi" w:hAnsiTheme="minorHAnsi" w:cstheme="minorHAnsi"/>
          <w:szCs w:val="24"/>
        </w:rPr>
        <w:t xml:space="preserve">ěny v termínech a výších dle tohoto článku, je povinen uhradit Poradci úroky z prodlení ve výši 0,05 % z dlužné částky za každý den </w:t>
      </w:r>
      <w:r w:rsidRPr="00D56F2C">
        <w:rPr>
          <w:rFonts w:asciiTheme="minorHAnsi" w:hAnsiTheme="minorHAnsi" w:cstheme="minorHAnsi"/>
          <w:szCs w:val="24"/>
        </w:rPr>
        <w:lastRenderedPageBreak/>
        <w:t>prodlení. Nebude-li Poradce řádně plnit předmět této smlouvy, je povinen uhradit Klientovi 1.000,-Kč denně za každý den prod</w:t>
      </w:r>
      <w:r w:rsidRPr="00D56F2C">
        <w:rPr>
          <w:rFonts w:asciiTheme="minorHAnsi" w:hAnsiTheme="minorHAnsi" w:cstheme="minorHAnsi"/>
          <w:szCs w:val="24"/>
        </w:rPr>
        <w:t>lení s plněním.</w:t>
      </w:r>
    </w:p>
    <w:p w:rsidR="00E145C5" w:rsidRPr="00D56F2C" w:rsidRDefault="00D56F2C">
      <w:pPr>
        <w:numPr>
          <w:ilvl w:val="0"/>
          <w:numId w:val="5"/>
        </w:numPr>
        <w:spacing w:after="772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 Poradci</w:t>
      </w:r>
      <w:r w:rsidRPr="00D56F2C">
        <w:rPr>
          <w:rFonts w:asciiTheme="minorHAnsi" w:hAnsiTheme="minorHAnsi" w:cstheme="minorHAnsi"/>
          <w:szCs w:val="24"/>
        </w:rPr>
        <w:t>, aniž by se tím Klient dostal do prodlení s úhradou faktury. Nová lhůta splatnosti počíná běžet dnem obdržení opravené nebo nově vystavené faktury. Důvod případného vrácení faktury musí být Klientem jednoznačně vymezen.</w:t>
      </w:r>
    </w:p>
    <w:p w:rsidR="00E145C5" w:rsidRPr="00D56F2C" w:rsidRDefault="00D56F2C">
      <w:pPr>
        <w:spacing w:after="5" w:line="259" w:lineRule="auto"/>
        <w:ind w:left="44" w:right="91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Článek V.</w:t>
      </w:r>
    </w:p>
    <w:p w:rsidR="00E145C5" w:rsidRPr="00D56F2C" w:rsidRDefault="00D56F2C">
      <w:pPr>
        <w:pStyle w:val="Nadpis1"/>
        <w:ind w:left="44" w:right="72"/>
        <w:rPr>
          <w:rFonts w:asciiTheme="minorHAnsi" w:hAnsiTheme="minorHAnsi" w:cstheme="minorHAnsi"/>
          <w:sz w:val="24"/>
          <w:szCs w:val="24"/>
        </w:rPr>
      </w:pPr>
      <w:r w:rsidRPr="00D56F2C">
        <w:rPr>
          <w:rFonts w:asciiTheme="minorHAnsi" w:hAnsiTheme="minorHAnsi" w:cstheme="minorHAnsi"/>
          <w:sz w:val="24"/>
          <w:szCs w:val="24"/>
        </w:rPr>
        <w:t>Chráněné informace</w:t>
      </w:r>
    </w:p>
    <w:p w:rsidR="00E145C5" w:rsidRPr="00D56F2C" w:rsidRDefault="00D56F2C">
      <w:pPr>
        <w:spacing w:after="139"/>
        <w:ind w:left="566" w:right="43"/>
        <w:rPr>
          <w:rFonts w:asciiTheme="minorHAnsi" w:hAnsiTheme="minorHAnsi" w:cstheme="minorHAnsi"/>
          <w:szCs w:val="24"/>
        </w:rPr>
      </w:pPr>
      <w:proofErr w:type="gramStart"/>
      <w:r w:rsidRPr="00D56F2C">
        <w:rPr>
          <w:rFonts w:asciiTheme="minorHAnsi" w:hAnsiTheme="minorHAnsi" w:cstheme="minorHAnsi"/>
          <w:szCs w:val="24"/>
        </w:rPr>
        <w:t>1 .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D56F2C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D56F2C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E145C5" w:rsidRPr="00D56F2C" w:rsidRDefault="00D56F2C">
      <w:pPr>
        <w:spacing w:after="815"/>
        <w:ind w:left="566"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D56F2C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D56F2C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E145C5" w:rsidRPr="00D56F2C" w:rsidRDefault="00D56F2C">
      <w:pPr>
        <w:spacing w:after="5" w:line="259" w:lineRule="auto"/>
        <w:ind w:left="44" w:right="106" w:hanging="10"/>
        <w:jc w:val="center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Článek VI.</w:t>
      </w:r>
    </w:p>
    <w:p w:rsidR="00E145C5" w:rsidRPr="00D56F2C" w:rsidRDefault="00D56F2C">
      <w:pPr>
        <w:pStyle w:val="Nadpis1"/>
        <w:spacing w:after="486"/>
        <w:ind w:left="44" w:right="96"/>
        <w:rPr>
          <w:rFonts w:asciiTheme="minorHAnsi" w:hAnsiTheme="minorHAnsi" w:cstheme="minorHAnsi"/>
          <w:sz w:val="24"/>
          <w:szCs w:val="24"/>
        </w:rPr>
      </w:pPr>
      <w:r w:rsidRPr="00D56F2C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E145C5" w:rsidRPr="00D56F2C" w:rsidRDefault="00D56F2C">
      <w:pPr>
        <w:spacing w:after="156"/>
        <w:ind w:left="566" w:right="43"/>
        <w:rPr>
          <w:rFonts w:asciiTheme="minorHAnsi" w:hAnsiTheme="minorHAnsi" w:cstheme="minorHAnsi"/>
          <w:szCs w:val="24"/>
        </w:rPr>
      </w:pPr>
      <w:proofErr w:type="gramStart"/>
      <w:r w:rsidRPr="00D56F2C">
        <w:rPr>
          <w:rFonts w:asciiTheme="minorHAnsi" w:hAnsiTheme="minorHAnsi" w:cstheme="minorHAnsi"/>
          <w:szCs w:val="24"/>
        </w:rPr>
        <w:t>1 .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D56F2C">
        <w:rPr>
          <w:rFonts w:asciiTheme="minorHAnsi" w:hAnsiTheme="minorHAnsi" w:cstheme="minorHAnsi"/>
          <w:szCs w:val="24"/>
        </w:rPr>
        <w:t>Právní vztahy výslovně neupravené touto Smlouvou se řídí ustanoveními Občanského</w:t>
      </w:r>
      <w:r>
        <w:rPr>
          <w:rFonts w:asciiTheme="minorHAnsi" w:hAnsiTheme="minorHAnsi" w:cstheme="minorHAnsi"/>
          <w:szCs w:val="24"/>
        </w:rPr>
        <w:t xml:space="preserve"> </w:t>
      </w:r>
      <w:r w:rsidRPr="00D56F2C">
        <w:rPr>
          <w:rFonts w:asciiTheme="minorHAnsi" w:hAnsiTheme="minorHAnsi" w:cstheme="minorHAnsi"/>
          <w:szCs w:val="24"/>
        </w:rPr>
        <w:t>zákoníku v platné</w:t>
      </w:r>
      <w:r w:rsidRPr="00D56F2C">
        <w:rPr>
          <w:rFonts w:asciiTheme="minorHAnsi" w:hAnsiTheme="minorHAnsi" w:cstheme="minorHAnsi"/>
          <w:szCs w:val="24"/>
        </w:rPr>
        <w:t xml:space="preserve">m znění a platnými právními předpisy upravujícími ochranu osobních </w:t>
      </w:r>
      <w:r w:rsidRPr="00D56F2C">
        <w:rPr>
          <w:rFonts w:asciiTheme="minorHAnsi" w:hAnsiTheme="minorHAnsi" w:cstheme="minorHAnsi"/>
          <w:szCs w:val="24"/>
        </w:rPr>
        <w:t>údajů.</w:t>
      </w:r>
    </w:p>
    <w:p w:rsidR="00E145C5" w:rsidRPr="00D56F2C" w:rsidRDefault="00D56F2C">
      <w:pPr>
        <w:numPr>
          <w:ilvl w:val="0"/>
          <w:numId w:val="6"/>
        </w:numPr>
        <w:spacing w:after="106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E145C5" w:rsidRPr="00D56F2C" w:rsidRDefault="00D56F2C">
      <w:pPr>
        <w:numPr>
          <w:ilvl w:val="0"/>
          <w:numId w:val="6"/>
        </w:numPr>
        <w:spacing w:after="59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Poradce je pojištěn na </w:t>
      </w:r>
      <w:r w:rsidRPr="00D56F2C">
        <w:rPr>
          <w:rFonts w:asciiTheme="minorHAnsi" w:hAnsiTheme="minorHAnsi" w:cstheme="minorHAnsi"/>
          <w:szCs w:val="24"/>
        </w:rPr>
        <w:t>škody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</w:t>
      </w:r>
      <w:r w:rsidRPr="00D56F2C">
        <w:rPr>
          <w:rFonts w:asciiTheme="minorHAnsi" w:hAnsiTheme="minorHAnsi" w:cstheme="minorHAnsi"/>
          <w:szCs w:val="24"/>
        </w:rPr>
        <w:t>enta je povinen předložit potvrzení o trvání pojištění.</w:t>
      </w:r>
    </w:p>
    <w:p w:rsidR="00E145C5" w:rsidRPr="00D56F2C" w:rsidRDefault="00D56F2C">
      <w:pPr>
        <w:numPr>
          <w:ilvl w:val="0"/>
          <w:numId w:val="6"/>
        </w:numPr>
        <w:spacing w:after="33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D56F2C">
        <w:rPr>
          <w:rFonts w:asciiTheme="minorHAnsi" w:hAnsiTheme="minorHAnsi" w:cstheme="minorHAnsi"/>
          <w:szCs w:val="24"/>
        </w:rPr>
        <w:t>plnění</w:t>
      </w:r>
      <w:proofErr w:type="gramEnd"/>
      <w:r w:rsidRPr="00D56F2C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E145C5" w:rsidRPr="00D56F2C" w:rsidRDefault="00D56F2C">
      <w:pPr>
        <w:numPr>
          <w:ilvl w:val="0"/>
          <w:numId w:val="6"/>
        </w:numPr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Tato Smlouva je uzavírána na dobu neurčito</w:t>
      </w:r>
      <w:r w:rsidRPr="00D56F2C">
        <w:rPr>
          <w:rFonts w:asciiTheme="minorHAnsi" w:hAnsiTheme="minorHAnsi" w:cstheme="minorHAnsi"/>
          <w:szCs w:val="24"/>
        </w:rPr>
        <w:t>u.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</w:t>
      </w:r>
      <w:r w:rsidRPr="00D56F2C">
        <w:rPr>
          <w:rFonts w:asciiTheme="minorHAnsi" w:hAnsiTheme="minorHAnsi" w:cstheme="minorHAnsi"/>
          <w:szCs w:val="24"/>
        </w:rPr>
        <w:t>posud poskytnutou činnost.</w:t>
      </w:r>
    </w:p>
    <w:p w:rsidR="00E145C5" w:rsidRPr="00D56F2C" w:rsidRDefault="00D56F2C">
      <w:pPr>
        <w:numPr>
          <w:ilvl w:val="0"/>
          <w:numId w:val="6"/>
        </w:numPr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stranami-</w:t>
      </w:r>
    </w:p>
    <w:p w:rsidR="00E145C5" w:rsidRPr="00D56F2C" w:rsidRDefault="00D56F2C">
      <w:pPr>
        <w:numPr>
          <w:ilvl w:val="0"/>
          <w:numId w:val="6"/>
        </w:numPr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lastRenderedPageBreak/>
        <w:t>Tato Smlouva se sepisuje ve (2) dvou vyhotoveních s platností originálu, přičemž každá ze Smluvních stran obdrží po (1) jednom vyhotovení Smlouvy.</w:t>
      </w:r>
    </w:p>
    <w:p w:rsidR="00E145C5" w:rsidRPr="00D56F2C" w:rsidRDefault="00D56F2C">
      <w:pPr>
        <w:numPr>
          <w:ilvl w:val="0"/>
          <w:numId w:val="6"/>
        </w:numPr>
        <w:spacing w:after="111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</w:t>
      </w:r>
      <w:r w:rsidRPr="00D56F2C">
        <w:rPr>
          <w:rFonts w:asciiTheme="minorHAnsi" w:hAnsiTheme="minorHAnsi" w:cstheme="minorHAnsi"/>
          <w:szCs w:val="24"/>
        </w:rPr>
        <w:t>eským právním řádem, v důsledku čehož by mohla být posuzována jako neplatná, považuje se toto ustanovení za samostatné a Smlouva se posuzuje, jako by takové ustanovení nikdy neobsahovala.</w:t>
      </w:r>
    </w:p>
    <w:p w:rsidR="00E145C5" w:rsidRPr="00D56F2C" w:rsidRDefault="00D56F2C">
      <w:pPr>
        <w:numPr>
          <w:ilvl w:val="0"/>
          <w:numId w:val="6"/>
        </w:numPr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 xml:space="preserve">Smluvní strany této Smlouvy se zavazují, že v případě sporů o obsah </w:t>
      </w:r>
      <w:r w:rsidRPr="00D56F2C">
        <w:rPr>
          <w:rFonts w:asciiTheme="minorHAnsi" w:hAnsiTheme="minorHAnsi" w:cstheme="minorHAnsi"/>
          <w:szCs w:val="24"/>
        </w:rPr>
        <w:t>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E145C5" w:rsidRPr="00D56F2C" w:rsidRDefault="00D56F2C">
      <w:pPr>
        <w:numPr>
          <w:ilvl w:val="0"/>
          <w:numId w:val="6"/>
        </w:numPr>
        <w:spacing w:after="791"/>
        <w:ind w:right="43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>Tato smlouva b</w:t>
      </w:r>
      <w:r w:rsidRPr="00D56F2C">
        <w:rPr>
          <w:rFonts w:asciiTheme="minorHAnsi" w:hAnsiTheme="minorHAnsi" w:cstheme="minorHAnsi"/>
          <w:szCs w:val="24"/>
        </w:rPr>
        <w:t>ude zveřejněna v registru smluv dle zákona č. 340/2015 Sb., o zvláštních podmínkách účinnosti některých smluv, uveřejňování těchto smluv a o registru smluv (zákon o registru smluv) a to bez uvedení citlivých údajů (obchodní tajemství, osobní údaje). Zveřej</w:t>
      </w:r>
      <w:r w:rsidRPr="00D56F2C">
        <w:rPr>
          <w:rFonts w:asciiTheme="minorHAnsi" w:hAnsiTheme="minorHAnsi" w:cstheme="minorHAnsi"/>
          <w:szCs w:val="24"/>
        </w:rPr>
        <w:t>nění smlouvy zajistí Poradce.</w:t>
      </w:r>
    </w:p>
    <w:tbl>
      <w:tblPr>
        <w:tblStyle w:val="TableGrid"/>
        <w:tblW w:w="7080" w:type="dxa"/>
        <w:tblInd w:w="48" w:type="dxa"/>
        <w:tblCellMar>
          <w:top w:w="0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2515"/>
      </w:tblGrid>
      <w:tr w:rsidR="00E145C5" w:rsidRPr="00D56F2C">
        <w:trPr>
          <w:trHeight w:val="371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145C5" w:rsidRPr="00D56F2C" w:rsidRDefault="00D56F2C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56F2C">
              <w:rPr>
                <w:rFonts w:asciiTheme="minorHAnsi" w:hAnsiTheme="minorHAnsi" w:cstheme="minorHAnsi"/>
                <w:szCs w:val="24"/>
              </w:rPr>
              <w:t xml:space="preserve">V Praze, dne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E145C5" w:rsidRPr="00D56F2C" w:rsidRDefault="00D56F2C">
            <w:pPr>
              <w:tabs>
                <w:tab w:val="right" w:pos="251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56F2C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D56F2C">
              <w:rPr>
                <w:rFonts w:asciiTheme="minorHAnsi" w:hAnsiTheme="minorHAnsi" w:cstheme="minorHAnsi"/>
                <w:szCs w:val="24"/>
              </w:rPr>
              <w:tab/>
            </w:r>
            <w:r w:rsidRPr="00D56F2C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</w:tc>
      </w:tr>
      <w:tr w:rsidR="00E145C5" w:rsidRPr="00D56F2C">
        <w:trPr>
          <w:trHeight w:val="38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5C5" w:rsidRPr="00D56F2C" w:rsidRDefault="00D56F2C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56F2C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E145C5" w:rsidRPr="00D56F2C" w:rsidRDefault="00D56F2C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56F2C">
              <w:rPr>
                <w:rFonts w:asciiTheme="minorHAnsi" w:hAnsiTheme="minorHAnsi" w:cstheme="minorHAnsi"/>
                <w:szCs w:val="24"/>
              </w:rPr>
              <w:t>Mgr. Pavla Kubíčková</w:t>
            </w:r>
          </w:p>
        </w:tc>
      </w:tr>
      <w:tr w:rsidR="00E145C5" w:rsidRPr="00D56F2C">
        <w:trPr>
          <w:trHeight w:val="253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E145C5" w:rsidRPr="00D56F2C" w:rsidRDefault="00D56F2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56F2C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E145C5" w:rsidRPr="00D56F2C" w:rsidRDefault="00D56F2C">
            <w:pPr>
              <w:spacing w:after="0" w:line="259" w:lineRule="auto"/>
              <w:ind w:left="6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56F2C">
              <w:rPr>
                <w:rFonts w:asciiTheme="minorHAnsi" w:hAnsiTheme="minorHAnsi" w:cstheme="minorHAnsi"/>
                <w:szCs w:val="24"/>
              </w:rPr>
              <w:t>ředitelka</w:t>
            </w:r>
          </w:p>
        </w:tc>
      </w:tr>
    </w:tbl>
    <w:p w:rsidR="00E145C5" w:rsidRPr="00D56F2C" w:rsidRDefault="00D56F2C">
      <w:pPr>
        <w:spacing w:after="1" w:line="259" w:lineRule="auto"/>
        <w:ind w:left="101" w:right="0" w:firstLine="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94047" cy="941877"/>
            <wp:effectExtent l="0" t="0" r="0" b="0"/>
            <wp:docPr id="36851" name="Picture 36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51" name="Picture 368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4047" cy="9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C5" w:rsidRPr="00D56F2C" w:rsidRDefault="00D56F2C">
      <w:pPr>
        <w:tabs>
          <w:tab w:val="center" w:pos="2297"/>
          <w:tab w:val="center" w:pos="6905"/>
        </w:tabs>
        <w:spacing w:after="36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D56F2C">
        <w:rPr>
          <w:rFonts w:asciiTheme="minorHAnsi" w:hAnsiTheme="minorHAnsi" w:cstheme="minorHAnsi"/>
          <w:szCs w:val="24"/>
        </w:rPr>
        <w:tab/>
        <w:t>vlastnoruční podpis</w:t>
      </w:r>
      <w:r w:rsidRPr="00D56F2C">
        <w:rPr>
          <w:rFonts w:asciiTheme="minorHAnsi" w:hAnsiTheme="minorHAnsi" w:cstheme="minorHAnsi"/>
          <w:szCs w:val="24"/>
        </w:rPr>
        <w:tab/>
        <w:t>vlastnoruční podpis</w:t>
      </w:r>
    </w:p>
    <w:p w:rsidR="00E145C5" w:rsidRPr="00D56F2C" w:rsidRDefault="00E145C5">
      <w:pPr>
        <w:spacing w:after="0" w:line="235" w:lineRule="auto"/>
        <w:ind w:left="5636" w:right="581" w:firstLine="0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E145C5" w:rsidRPr="00D56F2C">
      <w:footerReference w:type="even" r:id="rId14"/>
      <w:footerReference w:type="default" r:id="rId15"/>
      <w:footerReference w:type="first" r:id="rId16"/>
      <w:pgSz w:w="11900" w:h="16820"/>
      <w:pgMar w:top="1450" w:right="1426" w:bottom="1337" w:left="1330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6F2C">
      <w:pPr>
        <w:spacing w:after="0" w:line="240" w:lineRule="auto"/>
      </w:pPr>
      <w:r>
        <w:separator/>
      </w:r>
    </w:p>
  </w:endnote>
  <w:endnote w:type="continuationSeparator" w:id="0">
    <w:p w:rsidR="00000000" w:rsidRDefault="00D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C5" w:rsidRDefault="00D56F2C">
    <w:pPr>
      <w:spacing w:after="0" w:line="259" w:lineRule="auto"/>
      <w:ind w:left="0" w:right="8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C5" w:rsidRDefault="00D56F2C">
    <w:pPr>
      <w:spacing w:after="0" w:line="259" w:lineRule="auto"/>
      <w:ind w:left="0" w:right="8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C5" w:rsidRDefault="00D56F2C">
    <w:pPr>
      <w:spacing w:after="0" w:line="259" w:lineRule="auto"/>
      <w:ind w:left="0" w:right="8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6F2C">
      <w:pPr>
        <w:spacing w:after="0" w:line="240" w:lineRule="auto"/>
      </w:pPr>
      <w:r>
        <w:separator/>
      </w:r>
    </w:p>
  </w:footnote>
  <w:footnote w:type="continuationSeparator" w:id="0">
    <w:p w:rsidR="00000000" w:rsidRDefault="00D5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983"/>
    <w:multiLevelType w:val="hybridMultilevel"/>
    <w:tmpl w:val="C8281E50"/>
    <w:lvl w:ilvl="0" w:tplc="59268826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4A9B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488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0C84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CA13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84C6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4AF8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E900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663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A68EC"/>
    <w:multiLevelType w:val="hybridMultilevel"/>
    <w:tmpl w:val="E0B4EA26"/>
    <w:lvl w:ilvl="0" w:tplc="36E4200C">
      <w:start w:val="2"/>
      <w:numFmt w:val="lowerRoman"/>
      <w:lvlText w:val="%1.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E69CA">
      <w:start w:val="1"/>
      <w:numFmt w:val="lowerLetter"/>
      <w:lvlText w:val="%2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23736">
      <w:start w:val="1"/>
      <w:numFmt w:val="lowerRoman"/>
      <w:lvlText w:val="%3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A6B5C">
      <w:start w:val="1"/>
      <w:numFmt w:val="decimal"/>
      <w:lvlText w:val="%4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814CC">
      <w:start w:val="1"/>
      <w:numFmt w:val="lowerLetter"/>
      <w:lvlText w:val="%5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C396">
      <w:start w:val="1"/>
      <w:numFmt w:val="lowerRoman"/>
      <w:lvlText w:val="%6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260AE">
      <w:start w:val="1"/>
      <w:numFmt w:val="decimal"/>
      <w:lvlText w:val="%7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07746">
      <w:start w:val="1"/>
      <w:numFmt w:val="lowerLetter"/>
      <w:lvlText w:val="%8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009BA">
      <w:start w:val="1"/>
      <w:numFmt w:val="lowerRoman"/>
      <w:lvlText w:val="%9"/>
      <w:lvlJc w:val="left"/>
      <w:pPr>
        <w:ind w:left="7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D1AAC"/>
    <w:multiLevelType w:val="hybridMultilevel"/>
    <w:tmpl w:val="C0146FAE"/>
    <w:lvl w:ilvl="0" w:tplc="F864A914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092E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EDA3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E4BD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8EA2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0F05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6B08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0F2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AAE2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866E08"/>
    <w:multiLevelType w:val="hybridMultilevel"/>
    <w:tmpl w:val="06CE5848"/>
    <w:lvl w:ilvl="0" w:tplc="4FE44B56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B7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8B53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E6CF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C167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ECDF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43BB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CF5A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C8C1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6058DF"/>
    <w:multiLevelType w:val="hybridMultilevel"/>
    <w:tmpl w:val="72ACCA26"/>
    <w:lvl w:ilvl="0" w:tplc="BC9A0528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86D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C97C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A78B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0CBC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25DB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8A16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AFDD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488F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531D4A"/>
    <w:multiLevelType w:val="hybridMultilevel"/>
    <w:tmpl w:val="8EEC88CE"/>
    <w:lvl w:ilvl="0" w:tplc="D9B8E6F0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8226E">
      <w:start w:val="2"/>
      <w:numFmt w:val="lowerRoman"/>
      <w:lvlText w:val="%2.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8D998">
      <w:start w:val="1"/>
      <w:numFmt w:val="lowerRoman"/>
      <w:lvlText w:val="%3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E068C">
      <w:start w:val="1"/>
      <w:numFmt w:val="decimal"/>
      <w:lvlText w:val="%4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0AE26">
      <w:start w:val="1"/>
      <w:numFmt w:val="lowerLetter"/>
      <w:lvlText w:val="%5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CF1A0">
      <w:start w:val="1"/>
      <w:numFmt w:val="lowerRoman"/>
      <w:lvlText w:val="%6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5FE0">
      <w:start w:val="1"/>
      <w:numFmt w:val="decimal"/>
      <w:lvlText w:val="%7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2895C">
      <w:start w:val="1"/>
      <w:numFmt w:val="lowerLetter"/>
      <w:lvlText w:val="%8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A53E">
      <w:start w:val="1"/>
      <w:numFmt w:val="lowerRoman"/>
      <w:lvlText w:val="%9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5"/>
    <w:rsid w:val="00D56F2C"/>
    <w:rsid w:val="00E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2900"/>
  <w15:docId w15:val="{56FBB002-1F85-4370-A492-FE70885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2" w:line="225" w:lineRule="auto"/>
      <w:ind w:left="567" w:right="48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53" w:line="265" w:lineRule="auto"/>
      <w:ind w:left="53" w:right="2333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KM_C558-20180628153808</dc:title>
  <dc:subject/>
  <dc:creator>Petr Gabriel</dc:creator>
  <cp:keywords/>
  <cp:lastModifiedBy>Petr Gabriel</cp:lastModifiedBy>
  <cp:revision>2</cp:revision>
  <dcterms:created xsi:type="dcterms:W3CDTF">2018-06-28T13:48:00Z</dcterms:created>
  <dcterms:modified xsi:type="dcterms:W3CDTF">2018-06-28T13:48:00Z</dcterms:modified>
</cp:coreProperties>
</file>