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453CE" w:rsidRDefault="002029AA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proofErr w:type="gramStart"/>
      <w:r>
        <w:rPr>
          <w:rFonts w:ascii="Calibri" w:eastAsia="Calibri" w:hAnsi="Calibri" w:cs="Calibri"/>
          <w:b/>
          <w:color w:val="000000"/>
          <w:sz w:val="32"/>
          <w:szCs w:val="32"/>
        </w:rPr>
        <w:t>Smlouva č.</w:t>
      </w:r>
      <w:proofErr w:type="gramEnd"/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 1/2018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o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poskytování </w:t>
      </w:r>
    </w:p>
    <w:p w:rsidR="009453CE" w:rsidRDefault="002029AA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A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color w:val="000000"/>
          <w:sz w:val="32"/>
          <w:szCs w:val="32"/>
        </w:rPr>
        <w:t>serverhostingových</w:t>
      </w:r>
      <w:proofErr w:type="gramEnd"/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služeb - systém TRITIUS</w:t>
      </w:r>
    </w:p>
    <w:p w:rsidR="009453CE" w:rsidRDefault="009453C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spacing w:line="276" w:lineRule="auto"/>
        <w:rPr>
          <w:rFonts w:ascii="Arial" w:eastAsia="Arial" w:hAnsi="Arial" w:cs="Arial"/>
          <w:color w:val="00000A"/>
          <w:sz w:val="22"/>
          <w:szCs w:val="22"/>
        </w:rPr>
      </w:pPr>
    </w:p>
    <w:p w:rsidR="009453CE" w:rsidRDefault="009453C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spacing w:line="276" w:lineRule="auto"/>
        <w:rPr>
          <w:rFonts w:ascii="Arial" w:eastAsia="Arial" w:hAnsi="Arial" w:cs="Arial"/>
          <w:color w:val="00000A"/>
          <w:sz w:val="22"/>
          <w:szCs w:val="22"/>
        </w:rPr>
      </w:pPr>
    </w:p>
    <w:p w:rsidR="009453CE" w:rsidRDefault="002029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620" w:hanging="162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Poskytovatel: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:rsidR="009453CE" w:rsidRDefault="002029AA">
      <w:pPr>
        <w:widowControl/>
        <w:spacing w:line="276" w:lineRule="auto"/>
        <w:ind w:left="357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8"/>
          <w:szCs w:val="28"/>
        </w:rPr>
        <w:t>Tritius Solutions a.s.</w:t>
      </w:r>
      <w:proofErr w:type="gramEnd"/>
    </w:p>
    <w:p w:rsidR="009453CE" w:rsidRDefault="002029AA">
      <w:pPr>
        <w:widowControl/>
        <w:spacing w:line="276" w:lineRule="auto"/>
        <w:ind w:left="357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se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sídlem: Brno, Vodní 258/13, Staré Brno, 602 00 Brno</w:t>
      </w:r>
    </w:p>
    <w:p w:rsidR="009453CE" w:rsidRDefault="002029AA">
      <w:pPr>
        <w:widowControl/>
        <w:spacing w:line="276" w:lineRule="auto"/>
        <w:ind w:left="3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IČ: 05700582, DIČ:   CZ05700582</w:t>
      </w:r>
      <w:proofErr w:type="gramStart"/>
      <w:r>
        <w:rPr>
          <w:rFonts w:ascii="Calibri" w:eastAsia="Calibri" w:hAnsi="Calibri" w:cs="Calibri"/>
          <w:sz w:val="22"/>
          <w:szCs w:val="22"/>
        </w:rPr>
        <w:t>,  ID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datové schránky: </w:t>
      </w:r>
      <w:r>
        <w:rPr>
          <w:rFonts w:ascii="Calibri" w:eastAsia="Calibri" w:hAnsi="Calibri" w:cs="Calibri"/>
          <w:color w:val="1E2D3C"/>
          <w:sz w:val="22"/>
          <w:szCs w:val="22"/>
          <w:shd w:val="clear" w:color="auto" w:fill="FAFAFA"/>
        </w:rPr>
        <w:t>dvj9x5c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9453CE" w:rsidRDefault="002029AA">
      <w:pPr>
        <w:widowControl/>
        <w:spacing w:line="276" w:lineRule="auto"/>
        <w:ind w:left="357"/>
        <w:rPr>
          <w:rFonts w:ascii="Calibri" w:eastAsia="Calibri" w:hAnsi="Calibri" w:cs="Calibri"/>
          <w:sz w:val="23"/>
          <w:szCs w:val="23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bankovní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spojení : č.ú. 115-3913000287/0100 Komerční banka, a.s.</w:t>
      </w:r>
    </w:p>
    <w:p w:rsidR="009453CE" w:rsidRDefault="002029AA">
      <w:pPr>
        <w:widowControl/>
        <w:spacing w:line="276" w:lineRule="auto"/>
        <w:ind w:left="357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zapsaná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v obchodním rejstříku vedeném u krajského soudu v Brně, v oddílu B, vložka 7644</w:t>
      </w:r>
    </w:p>
    <w:p w:rsidR="009453CE" w:rsidRDefault="002029AA">
      <w:pPr>
        <w:spacing w:line="276" w:lineRule="auto"/>
        <w:ind w:left="357"/>
        <w:jc w:val="both"/>
        <w:rPr>
          <w:rFonts w:ascii="Arial" w:eastAsia="Arial" w:hAnsi="Arial" w:cs="Arial"/>
          <w:color w:val="00000A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jednající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: </w:t>
      </w:r>
    </w:p>
    <w:p w:rsidR="009453CE" w:rsidRDefault="009453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:rsidR="009453CE" w:rsidRDefault="002029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620" w:hanging="162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Objednatel: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:rsidR="009453CE" w:rsidRPr="002029AA" w:rsidRDefault="002029AA" w:rsidP="002029AA">
      <w:pPr>
        <w:widowControl/>
        <w:spacing w:line="276" w:lineRule="auto"/>
        <w:ind w:left="357"/>
        <w:rPr>
          <w:rFonts w:ascii="Calibri" w:eastAsia="Calibri" w:hAnsi="Calibri" w:cs="Calibri"/>
          <w:sz w:val="28"/>
          <w:szCs w:val="28"/>
        </w:rPr>
      </w:pPr>
      <w:r w:rsidRPr="002029AA">
        <w:rPr>
          <w:rFonts w:ascii="Calibri" w:eastAsia="Calibri" w:hAnsi="Calibri" w:cs="Calibri"/>
          <w:sz w:val="28"/>
          <w:szCs w:val="28"/>
        </w:rPr>
        <w:t xml:space="preserve">Kulturní zařízení </w:t>
      </w:r>
      <w:proofErr w:type="gramStart"/>
      <w:r w:rsidRPr="002029AA">
        <w:rPr>
          <w:rFonts w:ascii="Calibri" w:eastAsia="Calibri" w:hAnsi="Calibri" w:cs="Calibri"/>
          <w:sz w:val="28"/>
          <w:szCs w:val="28"/>
        </w:rPr>
        <w:t>města</w:t>
      </w:r>
      <w:proofErr w:type="gramEnd"/>
      <w:r w:rsidRPr="002029AA">
        <w:rPr>
          <w:rFonts w:ascii="Calibri" w:eastAsia="Calibri" w:hAnsi="Calibri" w:cs="Calibri"/>
          <w:sz w:val="28"/>
          <w:szCs w:val="28"/>
        </w:rPr>
        <w:t xml:space="preserve"> Boskovice, příspěvková organizace</w:t>
      </w:r>
    </w:p>
    <w:p w:rsidR="002029AA" w:rsidRDefault="002029AA" w:rsidP="002029AA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73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se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sídlem: Kpt. Jaroše 107/15, 680 01  Boskovice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9453CE" w:rsidRDefault="002029AA" w:rsidP="002029AA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7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IČ:  69648468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DIČ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: CZ69648468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není plátce DPH. </w:t>
      </w:r>
    </w:p>
    <w:p w:rsidR="009453CE" w:rsidRDefault="002029AA" w:rsidP="002029AA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Bankovní spojení:                            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,  ID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datové schránky: uxhff26</w:t>
      </w:r>
    </w:p>
    <w:p w:rsidR="009453CE" w:rsidRDefault="002029AA" w:rsidP="002029AA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73"/>
        <w:rPr>
          <w:rFonts w:ascii="Arial" w:eastAsia="Arial" w:hAnsi="Arial" w:cs="Arial"/>
          <w:color w:val="00000A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jednající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:  </w:t>
      </w:r>
    </w:p>
    <w:p w:rsidR="009453CE" w:rsidRDefault="009453C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:rsidR="009453CE" w:rsidRDefault="002029A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2"/>
        </w:tabs>
        <w:spacing w:line="276" w:lineRule="auto"/>
        <w:ind w:left="426" w:hanging="426"/>
        <w:jc w:val="center"/>
        <w:rPr>
          <w:rFonts w:ascii="Arial" w:eastAsia="Arial" w:hAnsi="Arial" w:cs="Arial"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Úvodní ustanovení</w:t>
      </w:r>
    </w:p>
    <w:p w:rsidR="009453CE" w:rsidRDefault="009453C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:rsidR="009453CE" w:rsidRDefault="002029AA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  <w:tab w:val="left" w:pos="1325"/>
        </w:tabs>
        <w:spacing w:line="276" w:lineRule="auto"/>
        <w:ind w:left="738" w:hanging="725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Poskytovatel je poskytovatelem serverhostingové služby (dále jen „Hosting systému“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)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pro databázovou webovou aplikaci Tritius pro evidenci dokumentů, čtenářů a výpůjček (dále jen „Software“) určenou zejména pro knihovny a jiné organizace, která je specifikována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 xml:space="preserve">v příloze č. 1.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této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Smlouvy.</w:t>
      </w:r>
    </w:p>
    <w:p w:rsidR="009453CE" w:rsidRDefault="002029AA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Právní vztahy založené touto Smlouvou se řídí jejími ustanoveními, a ve zbývajících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záležitostech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příslušnými právními předpisy právního řádu České republiky, zejména zákonem č. 89/2012 Sb., občanským zákoníkem, autorským zákonem a zákonem o ochraně osobní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ch údajů </w:t>
      </w:r>
      <w:r>
        <w:rPr>
          <w:rFonts w:ascii="Calibri" w:eastAsia="Calibri" w:hAnsi="Calibri" w:cs="Calibri"/>
          <w:sz w:val="22"/>
          <w:szCs w:val="22"/>
        </w:rPr>
        <w:t>a nařízení evropského parlamentu č. 2006/679 o ochraně osobních údajů fyzických osob (GDPR).</w:t>
      </w:r>
    </w:p>
    <w:p w:rsidR="009453CE" w:rsidRDefault="009453C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:rsidR="009453CE" w:rsidRDefault="002029A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ind w:left="360"/>
        <w:jc w:val="center"/>
        <w:rPr>
          <w:rFonts w:ascii="Arial" w:eastAsia="Arial" w:hAnsi="Arial" w:cs="Arial"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Předmět smlouvy</w:t>
      </w:r>
    </w:p>
    <w:p w:rsidR="009453CE" w:rsidRDefault="009453C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A"/>
          <w:sz w:val="22"/>
          <w:szCs w:val="22"/>
        </w:rPr>
      </w:pPr>
    </w:p>
    <w:p w:rsidR="009453CE" w:rsidRDefault="002029A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7"/>
          <w:tab w:val="left" w:pos="1134"/>
        </w:tabs>
        <w:spacing w:line="276" w:lineRule="auto"/>
        <w:ind w:left="567" w:hanging="567"/>
        <w:jc w:val="both"/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Povinnosti Poskytovatele</w:t>
      </w:r>
    </w:p>
    <w:p w:rsidR="009453CE" w:rsidRDefault="002029AA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Poskytovatel se zavazuje provozovat a zpřístupnit Software Tritius a poskytovat hostingové služby dle specifikace uvedené v příloze č. 1. – Specifikace hostingu systému TRITIUS.</w:t>
      </w:r>
    </w:p>
    <w:p w:rsidR="009453CE" w:rsidRDefault="002029AA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Poskytovatel je oprávněn pověřit provedením části prací jinou osobu; v takovém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případě však má Poskytovatel odpovědnost, jako by tyto činnosti prováděl sám.</w:t>
      </w:r>
    </w:p>
    <w:p w:rsidR="009453CE" w:rsidRDefault="009453C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:rsidR="009453CE" w:rsidRDefault="002029A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7"/>
          <w:tab w:val="left" w:pos="1134"/>
        </w:tabs>
        <w:spacing w:line="276" w:lineRule="auto"/>
        <w:ind w:left="567" w:hanging="567"/>
        <w:jc w:val="both"/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Povinnosti Objednatele</w:t>
      </w:r>
      <w:bookmarkStart w:id="0" w:name="gjdgxs" w:colFirst="0" w:colLast="0"/>
      <w:bookmarkEnd w:id="0"/>
    </w:p>
    <w:p w:rsidR="009453CE" w:rsidRDefault="002029AA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  <w:tab w:val="left" w:pos="1418"/>
        </w:tabs>
        <w:spacing w:line="276" w:lineRule="auto"/>
        <w:ind w:left="709" w:hanging="709"/>
      </w:pPr>
      <w:r>
        <w:rPr>
          <w:rFonts w:ascii="Calibri" w:eastAsia="Calibri" w:hAnsi="Calibri" w:cs="Calibri"/>
          <w:color w:val="000000"/>
          <w:sz w:val="22"/>
          <w:szCs w:val="22"/>
        </w:rPr>
        <w:t>Objednatel se zavazuje vlastnit trvalou licenci systému Tritius v aktuální verzi a hradit cenu Hostingu systému ve výši a za podmínek uvedených dále v 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bodě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F této Smlouvy. </w:t>
      </w:r>
      <w:bookmarkStart w:id="1" w:name="30j0zll" w:colFirst="0" w:colLast="0"/>
      <w:bookmarkEnd w:id="1"/>
    </w:p>
    <w:p w:rsidR="009453CE" w:rsidRDefault="002029AA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  <w:tab w:val="left" w:pos="1418"/>
        </w:tabs>
        <w:spacing w:line="276" w:lineRule="auto"/>
        <w:ind w:left="709" w:hanging="709"/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Objednatel se zavazuje poskytnout Poskytovateli požadovanou součinnost. Poskytovate</w:t>
      </w:r>
      <w:r>
        <w:rPr>
          <w:rFonts w:ascii="Calibri" w:eastAsia="Calibri" w:hAnsi="Calibri" w:cs="Calibri"/>
          <w:color w:val="000000"/>
          <w:sz w:val="22"/>
          <w:szCs w:val="22"/>
        </w:rPr>
        <w:t>l není v prodlení s předáním Hostingu Systému v případech, kdy došlo k překročení sjednaného termínu v důsledku neposkytnutí součinnosti ze strany Objednatele.</w:t>
      </w:r>
    </w:p>
    <w:p w:rsidR="009453CE" w:rsidRDefault="009453C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069"/>
          <w:tab w:val="left" w:pos="1418"/>
        </w:tabs>
        <w:spacing w:line="276" w:lineRule="auto"/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</w:p>
    <w:p w:rsidR="009453CE" w:rsidRDefault="009453C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069"/>
          <w:tab w:val="left" w:pos="1418"/>
        </w:tabs>
        <w:spacing w:line="276" w:lineRule="auto"/>
        <w:ind w:left="709" w:hanging="709"/>
        <w:rPr>
          <w:rFonts w:ascii="Calibri" w:eastAsia="Calibri" w:hAnsi="Calibri" w:cs="Calibri"/>
          <w:color w:val="000000"/>
          <w:sz w:val="22"/>
          <w:szCs w:val="22"/>
        </w:rPr>
      </w:pPr>
    </w:p>
    <w:p w:rsidR="009453CE" w:rsidRDefault="002029A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ind w:left="360"/>
        <w:jc w:val="center"/>
        <w:rPr>
          <w:rFonts w:ascii="Arial" w:eastAsia="Arial" w:hAnsi="Arial" w:cs="Arial"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Zpřístupnění Softwaru na Hostingu</w:t>
      </w:r>
    </w:p>
    <w:p w:rsidR="009453CE" w:rsidRDefault="009453C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:rsidR="009453CE" w:rsidRDefault="002029A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7"/>
          <w:tab w:val="left" w:pos="1134"/>
        </w:tabs>
        <w:spacing w:line="276" w:lineRule="auto"/>
        <w:ind w:left="567" w:hanging="567"/>
        <w:jc w:val="both"/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Způsob zpřístupnění Softwaru</w:t>
      </w:r>
    </w:p>
    <w:p w:rsidR="009453CE" w:rsidRDefault="002029AA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Poskytovatel je povinen zpřístupnit Software Tritius formou jeho zpřístupnění přes webové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rozhraní  a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poskytnout za tímto účelem veškeré přístupové údaje. Údaje se zavazuje poskytnout Poskytovatel e-mailem.</w:t>
      </w:r>
    </w:p>
    <w:p w:rsidR="009453CE" w:rsidRDefault="002029AA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Poskytovatel se zavazuje provádět zprovoznění Sys</w:t>
      </w:r>
      <w:r>
        <w:rPr>
          <w:rFonts w:ascii="Calibri" w:eastAsia="Calibri" w:hAnsi="Calibri" w:cs="Calibri"/>
          <w:color w:val="000000"/>
          <w:sz w:val="22"/>
          <w:szCs w:val="22"/>
        </w:rPr>
        <w:t>tému s přihlédnutím k provozním potřebám Objednatele tak, aby byla jeho činnost omezena pouze v nezbytné míře; Objednatel bere na vědomí, že po tuto dobu může docházet k určitým omezením, které však nebudou zásadně bránit jeho běžné  činnosti.</w:t>
      </w:r>
    </w:p>
    <w:p w:rsidR="009453CE" w:rsidRDefault="009453C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:rsidR="009453CE" w:rsidRDefault="002029A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7"/>
          <w:tab w:val="left" w:pos="1134"/>
        </w:tabs>
        <w:spacing w:line="276" w:lineRule="auto"/>
        <w:ind w:left="567" w:hanging="567"/>
        <w:jc w:val="both"/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Poskytování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přístupu k Softwaru</w:t>
      </w:r>
    </w:p>
    <w:p w:rsidR="009453CE" w:rsidRDefault="002029AA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Software bude poskytován formou serverhostingu systému přes webové rozhraní protokolem HTTPS. Software bude provozován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serveru umístěném v hostingovém centru Poskytovatele či jeho smluvního partnera.</w:t>
      </w:r>
    </w:p>
    <w:p w:rsidR="009453CE" w:rsidRDefault="002029AA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Software bude zpřístupněn po celou dobu trvání této Smlouvy. Poskytovatel je oprávněn znepřístupnit Software v případě prodlení více než 21 dní Objednatele s úhradou finančních závazků vůči Poskytovateli nebo v případě hrubého porušení smluvních podmínek v</w:t>
      </w:r>
      <w:r>
        <w:rPr>
          <w:rFonts w:ascii="Calibri" w:eastAsia="Calibri" w:hAnsi="Calibri" w:cs="Calibri"/>
          <w:color w:val="000000"/>
          <w:sz w:val="22"/>
          <w:szCs w:val="22"/>
        </w:rPr>
        <w:t>yplývajících z této Smlouvy a jejích příloh Objednatelem.</w:t>
      </w:r>
    </w:p>
    <w:p w:rsidR="009453CE" w:rsidRDefault="002029AA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Objednatel je povinen uchovávat v tajnosti své přístupové údaje k Softwaru a chránit je před zneužitím ze strany třetích osob.</w:t>
      </w:r>
    </w:p>
    <w:p w:rsidR="009453CE" w:rsidRDefault="002029AA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Objednatel není oprávněn Software šířit, kopírovat nebo jiným způsobem umožnit jeho užívání jinými osobami, nebude-li smluvními stranami předem písemně sjednáno jinak. Výjimkou jsou veřejně dostupné části Služby Systému: Webový katalog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některé komunikačn</w:t>
      </w:r>
      <w:r>
        <w:rPr>
          <w:rFonts w:ascii="Calibri" w:eastAsia="Calibri" w:hAnsi="Calibri" w:cs="Calibri"/>
          <w:color w:val="000000"/>
          <w:sz w:val="22"/>
          <w:szCs w:val="22"/>
        </w:rPr>
        <w:t>í moduly: OAI Provider, NCIP Server a Z39.50 Server pokud jsou součástí Soft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color w:val="000000"/>
          <w:sz w:val="22"/>
          <w:szCs w:val="22"/>
        </w:rPr>
        <w:t>are.</w:t>
      </w:r>
    </w:p>
    <w:p w:rsidR="009453CE" w:rsidRDefault="002029AA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Data Objednatele budou umístěna v SQL databázích systému Tritius. Objednatel se zavazuje pravidelně, minimálně jednou měsíčně provádět zálohu dat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své technické zařízení za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podmínek stanovených ve VOP. Poskytovatel nenese žádnou odpovědnost za ztrátu či změnu dat Objednatele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zálohách na technickém zařízení Objednatele.</w:t>
      </w:r>
    </w:p>
    <w:p w:rsidR="009453CE" w:rsidRDefault="009453C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:rsidR="009453CE" w:rsidRDefault="002029A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ind w:left="360"/>
        <w:jc w:val="center"/>
        <w:rPr>
          <w:rFonts w:ascii="Arial" w:eastAsia="Arial" w:hAnsi="Arial" w:cs="Arial"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Servis a údržba </w:t>
      </w:r>
    </w:p>
    <w:p w:rsidR="009453CE" w:rsidRDefault="009453C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:rsidR="009453CE" w:rsidRDefault="002029AA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  <w:tab w:val="left" w:pos="1418"/>
        </w:tabs>
        <w:spacing w:line="276" w:lineRule="auto"/>
        <w:ind w:left="709" w:hanging="709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 ceně Hostingu Systému je pouze základní monitoring funkčnosti systému. Běžný mimozáruční servis v ceně Hostingu Systému není a hradí se zvlášť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základě platného ceníku servisu, popřípadě dle servisní smlouvy uzavřené s Poskytovatelem nebo servisními bo</w:t>
      </w:r>
      <w:r>
        <w:rPr>
          <w:rFonts w:ascii="Calibri" w:eastAsia="Calibri" w:hAnsi="Calibri" w:cs="Calibri"/>
          <w:color w:val="000000"/>
          <w:sz w:val="22"/>
          <w:szCs w:val="22"/>
        </w:rPr>
        <w:t>dy.</w:t>
      </w:r>
    </w:p>
    <w:p w:rsidR="009453CE" w:rsidRDefault="002029AA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Podmínky Hostingu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systému  jsou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uvedeny ve VOP.</w:t>
      </w:r>
    </w:p>
    <w:p w:rsidR="009453CE" w:rsidRDefault="009453C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:rsidR="009453CE" w:rsidRDefault="009453C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:rsidR="009453CE" w:rsidRDefault="002029A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ind w:left="360"/>
        <w:jc w:val="center"/>
        <w:rPr>
          <w:rFonts w:ascii="Arial" w:eastAsia="Arial" w:hAnsi="Arial" w:cs="Arial"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Celková cena a platební podmínky</w:t>
      </w:r>
    </w:p>
    <w:p w:rsidR="009453CE" w:rsidRDefault="009453C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Arial" w:eastAsia="Arial" w:hAnsi="Arial" w:cs="Arial"/>
          <w:color w:val="00000A"/>
          <w:sz w:val="22"/>
          <w:szCs w:val="22"/>
        </w:rPr>
      </w:pPr>
    </w:p>
    <w:p w:rsidR="009453CE" w:rsidRDefault="002029A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7"/>
          <w:tab w:val="left" w:pos="1134"/>
        </w:tabs>
        <w:spacing w:line="276" w:lineRule="auto"/>
        <w:ind w:left="567" w:hanging="567"/>
        <w:jc w:val="both"/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Cenové podmínky</w:t>
      </w:r>
    </w:p>
    <w:p w:rsidR="009453CE" w:rsidRDefault="002029AA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3"/>
          <w:tab w:val="left" w:pos="1426"/>
        </w:tabs>
        <w:spacing w:line="276" w:lineRule="auto"/>
        <w:ind w:left="713" w:hanging="713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Cena </w:t>
      </w:r>
      <w:r>
        <w:rPr>
          <w:rFonts w:ascii="Calibri" w:eastAsia="Calibri" w:hAnsi="Calibri" w:cs="Calibri"/>
          <w:sz w:val="22"/>
          <w:szCs w:val="22"/>
        </w:rPr>
        <w:t xml:space="preserve">Hostingu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Systému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ostatních sjednaných činností je upravena v příloze č. 1. Výše ceny Hostingu Systému vychází z ceníku Hostingu Systému, který je zveřejňován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webových stránkách Poskytovatele dostupných pouze pro uživatele systému Tritius.</w:t>
      </w:r>
    </w:p>
    <w:p w:rsidR="009453CE" w:rsidRDefault="002029AA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Cena je uvedena v Kč </w:t>
      </w:r>
      <w:r>
        <w:rPr>
          <w:rFonts w:ascii="Calibri" w:eastAsia="Calibri" w:hAnsi="Calibri" w:cs="Calibri"/>
          <w:color w:val="000000"/>
          <w:sz w:val="22"/>
          <w:szCs w:val="22"/>
        </w:rPr>
        <w:t>jako cena plnění bez DPH, výše DPH bude účtována dle zákona.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p w:rsidR="009453CE" w:rsidRDefault="002029A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25"/>
        </w:tabs>
        <w:spacing w:line="276" w:lineRule="auto"/>
        <w:ind w:left="738" w:hanging="700"/>
        <w:jc w:val="both"/>
        <w:rPr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Cena Hostingu Systému je garantována prvních 12 měsíců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od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uzavření smlouvy (tj. Období garantované ceny hostingu). Poskytovatel je oprávněn změnit cenu Hostingu Systému po uplynutí tohoto období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Poskytovatel je povinen informaci o ní sdělit písemně Objednateli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jeho e-mailovou adresu uvedenou v bodě V. přílohy č. 1 této Smlouvy. Objednatel je povinen se s novými cenovými podmínkami seznámit. Přijímá-li Objednatel nadále služby Hostingu Systému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či jiné plnění poskytované ze strany Poskytovatele, stávají se pro něj nové cenové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podmínky  závaznými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okamžikem a s účinností ode dne, kdy službu nebo plnění přijal. Objednatel má možnost tuto změnu cenových podmínek odmítnout, a to formou výpovědi s výp</w:t>
      </w:r>
      <w:r>
        <w:rPr>
          <w:rFonts w:ascii="Calibri" w:eastAsia="Calibri" w:hAnsi="Calibri" w:cs="Calibri"/>
          <w:color w:val="000000"/>
          <w:sz w:val="22"/>
          <w:szCs w:val="22"/>
        </w:rPr>
        <w:t>ovědní dobou 2 měsíců, která začíná běžet okamžikem doručení výpovědi. Pokud druhá strana neučiní výpověď ve lhůtě 15 dnů ode dne oznámení o změně těchto cenových podmínek, pak se má za to, že tato druhá smluvní strana se změnou cenových podmínek souhlasí.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p w:rsidR="009453CE" w:rsidRDefault="002029A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7"/>
          <w:tab w:val="left" w:pos="1134"/>
        </w:tabs>
        <w:spacing w:line="276" w:lineRule="auto"/>
        <w:ind w:left="567" w:hanging="567"/>
        <w:jc w:val="both"/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Platební podmínky</w:t>
      </w:r>
    </w:p>
    <w:p w:rsidR="009453CE" w:rsidRDefault="002029AA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Objednatel uhradí plnění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základě faktur vystavených Poskytovatelem čtvrtletně vždy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v prvním měsíci čtvrtletí bankovním převodem na jeho účet uvedený v záhlaví této Smlouvy. Splatnost faktury bude 21 dní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od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jejího doručení Objednateli.</w:t>
      </w:r>
    </w:p>
    <w:p w:rsidR="009453CE" w:rsidRDefault="002029AA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Faktura musí splňovat náležitosti daňového dokladu.</w:t>
      </w:r>
    </w:p>
    <w:p w:rsidR="009453CE" w:rsidRDefault="002029AA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V případě, že faktura nebude obsahovat zákonem přede</w:t>
      </w:r>
      <w:r>
        <w:rPr>
          <w:rFonts w:ascii="Calibri" w:eastAsia="Calibri" w:hAnsi="Calibri" w:cs="Calibri"/>
          <w:color w:val="000000"/>
          <w:sz w:val="22"/>
          <w:szCs w:val="22"/>
        </w:rPr>
        <w:t>psané nebo výše uvedené náležitosti, je Objednatel oprávněn ji do data splatnosti vrátit s tím, že Poskytovatel je poté povinen vystavit novou fakturu s novým termínem splatnosti. V takovém případě není Objednatel v prodlení s úhradou faktury.</w:t>
      </w:r>
    </w:p>
    <w:p w:rsidR="009453CE" w:rsidRDefault="009453C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:rsidR="009453CE" w:rsidRDefault="002029A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7"/>
          <w:tab w:val="left" w:pos="1134"/>
        </w:tabs>
        <w:spacing w:line="276" w:lineRule="auto"/>
        <w:ind w:left="567" w:hanging="567"/>
        <w:jc w:val="both"/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Ostatní</w:t>
      </w:r>
    </w:p>
    <w:p w:rsidR="009453CE" w:rsidRDefault="002029AA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Oka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mžikem zaplacení je okamžik připsání příslušné částky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účet Poskytovatele uvedený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v této Smlouvě.</w:t>
      </w:r>
    </w:p>
    <w:p w:rsidR="009453CE" w:rsidRDefault="002029AA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V případě prodlení Objednatele s úhradou jakýchkoliv plateb (peněžitých plnění) dle této Smlouvy je Objednatel povinen zaplatit Poskytovateli úrok z prodlení ve výši 0,3 % ze skutečně dlužné částky za každý den prodlení, nejméně však ve výši stanovené práv</w:t>
      </w:r>
      <w:r>
        <w:rPr>
          <w:rFonts w:ascii="Calibri" w:eastAsia="Calibri" w:hAnsi="Calibri" w:cs="Calibri"/>
          <w:color w:val="000000"/>
          <w:sz w:val="22"/>
          <w:szCs w:val="22"/>
        </w:rPr>
        <w:t>ními předpisy.</w:t>
      </w:r>
    </w:p>
    <w:p w:rsidR="009453CE" w:rsidRDefault="009453C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069"/>
          <w:tab w:val="left" w:pos="1418"/>
        </w:tabs>
        <w:spacing w:line="276" w:lineRule="auto"/>
        <w:ind w:left="709" w:hanging="709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:rsidR="009453CE" w:rsidRDefault="002029A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ind w:left="360"/>
        <w:jc w:val="center"/>
        <w:rPr>
          <w:rFonts w:ascii="Arial" w:eastAsia="Arial" w:hAnsi="Arial" w:cs="Arial"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Ukončení a zánik Smlouvy</w:t>
      </w:r>
    </w:p>
    <w:p w:rsidR="009453CE" w:rsidRDefault="009453C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Arial" w:eastAsia="Arial" w:hAnsi="Arial" w:cs="Arial"/>
          <w:color w:val="00000A"/>
          <w:sz w:val="22"/>
          <w:szCs w:val="22"/>
        </w:rPr>
      </w:pPr>
    </w:p>
    <w:p w:rsidR="009453CE" w:rsidRDefault="002029AA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Smlouvu lze ukončit:</w:t>
      </w:r>
    </w:p>
    <w:p w:rsidR="009453CE" w:rsidRDefault="002029AA">
      <w:pPr>
        <w:keepNext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7"/>
          <w:tab w:val="left" w:pos="1874"/>
        </w:tabs>
        <w:spacing w:line="276" w:lineRule="auto"/>
        <w:ind w:left="937" w:hanging="397"/>
        <w:jc w:val="both"/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písemnou dohodou smluvních stran;</w:t>
      </w:r>
    </w:p>
    <w:p w:rsidR="009453CE" w:rsidRDefault="002029AA">
      <w:pPr>
        <w:keepNext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7"/>
          <w:tab w:val="left" w:pos="1874"/>
        </w:tabs>
        <w:spacing w:line="276" w:lineRule="auto"/>
        <w:ind w:left="937" w:hanging="397"/>
        <w:jc w:val="both"/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neakceptací aktualizované Specifikace Hostingu Systému Tritius (přílohy č. 1) či VOP (přílohy č. 2);</w:t>
      </w:r>
      <w:bookmarkStart w:id="2" w:name="1fob9te" w:colFirst="0" w:colLast="0"/>
      <w:bookmarkEnd w:id="2"/>
    </w:p>
    <w:p w:rsidR="009453CE" w:rsidRDefault="002029AA">
      <w:pPr>
        <w:keepNext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7"/>
          <w:tab w:val="left" w:pos="1874"/>
        </w:tabs>
        <w:spacing w:line="276" w:lineRule="auto"/>
        <w:ind w:left="937" w:hanging="397"/>
        <w:jc w:val="both"/>
        <w:rPr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odstoupením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od Smlouvy, a to v případech podstatného porušení povinností nebo dalších podmínek sjednaných  v této Smlouvě  a jejich přílohách.</w:t>
      </w:r>
    </w:p>
    <w:p w:rsidR="009453CE" w:rsidRDefault="002029AA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7"/>
          <w:tab w:val="left" w:pos="1874"/>
        </w:tabs>
        <w:spacing w:line="276" w:lineRule="auto"/>
        <w:ind w:left="937" w:hanging="397"/>
        <w:jc w:val="both"/>
        <w:rPr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písemnou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výpovědí kterékoliv smluvní strany s výpovědní lhůtou 3 měsíce, která začne plynout prvního dne následujícího měsíce po dni doručení písemné výpovědi.</w:t>
      </w:r>
    </w:p>
    <w:p w:rsidR="009453CE" w:rsidRDefault="002029AA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Každá ze stran může odstoupit od této Smlouvy pro podstatné porušení povinnosti, zejména:</w:t>
      </w:r>
    </w:p>
    <w:p w:rsidR="009453CE" w:rsidRDefault="002029A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7"/>
          <w:tab w:val="left" w:pos="1874"/>
        </w:tabs>
        <w:spacing w:line="276" w:lineRule="auto"/>
        <w:ind w:left="937" w:hanging="39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 pr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odlení Objednatele s placením ceny nebo její části delším než 30 dnů; </w:t>
      </w:r>
    </w:p>
    <w:p w:rsidR="009453CE" w:rsidRDefault="002029A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7"/>
          <w:tab w:val="left" w:pos="1874"/>
        </w:tabs>
        <w:spacing w:line="276" w:lineRule="auto"/>
        <w:ind w:left="937" w:hanging="39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 prodlení Poskytovatele s předáním přístupu k Systému delším než 60 dnů;</w:t>
      </w:r>
      <w:bookmarkStart w:id="3" w:name="3znysh7" w:colFirst="0" w:colLast="0"/>
      <w:bookmarkEnd w:id="3"/>
    </w:p>
    <w:p w:rsidR="009453CE" w:rsidRDefault="002029A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7"/>
          <w:tab w:val="left" w:pos="1874"/>
        </w:tabs>
        <w:spacing w:line="276" w:lineRule="auto"/>
        <w:ind w:left="937" w:hanging="39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pro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neposkytnutí nutné součinnosti ze strany Objednatele, pokud toto znemožňuje splnění povinností Poskytovat</w:t>
      </w:r>
      <w:r>
        <w:rPr>
          <w:rFonts w:ascii="Calibri" w:eastAsia="Calibri" w:hAnsi="Calibri" w:cs="Calibri"/>
          <w:color w:val="000000"/>
          <w:sz w:val="22"/>
          <w:szCs w:val="22"/>
        </w:rPr>
        <w:t>ele dle této Smlouvy a pokud na to Objednatele písemně upozornil a poskytl mu přiměřenou lhůtu pro nápravu závadného stavu.</w:t>
      </w:r>
    </w:p>
    <w:p w:rsidR="009453CE" w:rsidRDefault="002029AA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Odstoupí-li Objednatel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od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této Smlouvy z důvodu jejího podstatného porušení, má Poskytovatel nárok na úhradu části ceny odpovídající rozsahu částečného provedení činností dle této Smlouvy a dále má nárok na úhradu závazně objednaného hardwaru a softwaru, 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to dle cen uvedených v této Smlouvě.</w:t>
      </w:r>
    </w:p>
    <w:p w:rsidR="009453CE" w:rsidRDefault="002029AA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Vypoví-li Objednatel tuto Smlouvu během období garantované ceny Hostingu Systému (dle bodu E.1.3.), Poskytovatel má právo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úhradu ceny za službu za celé zbývající garantované období. Neuhrazenou částku je Objednatel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povinen zaplatit najednou do 30 dnů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od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odstoupení od Smlouvy. To platí i v případě ukončení této smlouvy dohodou, není-li dohodnuto jinak.</w:t>
      </w:r>
    </w:p>
    <w:p w:rsidR="009453CE" w:rsidRDefault="002029AA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Majetkové vypořádání jsou povinny smluvní strany splnit do 30 dnů ode dne ukončení této Smlouvy. Smluvní strany se mo</w:t>
      </w:r>
      <w:r>
        <w:rPr>
          <w:rFonts w:ascii="Calibri" w:eastAsia="Calibri" w:hAnsi="Calibri" w:cs="Calibri"/>
          <w:color w:val="000000"/>
          <w:sz w:val="22"/>
          <w:szCs w:val="22"/>
        </w:rPr>
        <w:t>hou ohledně majetkového vypořádání dohodnout jinak.</w:t>
      </w:r>
    </w:p>
    <w:p w:rsidR="009453CE" w:rsidRDefault="002029AA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Možnost a formu předání hostovaného systému či jenom dat vložených Objednatelem zpět Objednateli upravují VOP. </w:t>
      </w:r>
    </w:p>
    <w:p w:rsidR="009453CE" w:rsidRDefault="009453C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069"/>
          <w:tab w:val="left" w:pos="1418"/>
        </w:tabs>
        <w:spacing w:line="276" w:lineRule="auto"/>
        <w:ind w:left="709" w:hanging="709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:rsidR="009453CE" w:rsidRDefault="002029A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ind w:left="50"/>
        <w:jc w:val="center"/>
        <w:rPr>
          <w:rFonts w:ascii="Arial" w:eastAsia="Arial" w:hAnsi="Arial" w:cs="Arial"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Zabezpečení ochrany osobních údajů</w:t>
      </w:r>
    </w:p>
    <w:p w:rsidR="009453CE" w:rsidRDefault="009453C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ind w:left="50" w:hanging="360"/>
        <w:jc w:val="center"/>
        <w:rPr>
          <w:rFonts w:ascii="Arial" w:eastAsia="Arial" w:hAnsi="Arial" w:cs="Arial"/>
          <w:color w:val="00000A"/>
          <w:sz w:val="22"/>
          <w:szCs w:val="22"/>
        </w:rPr>
      </w:pPr>
    </w:p>
    <w:p w:rsidR="009453CE" w:rsidRDefault="002029AA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ind w:left="738" w:hanging="725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Poskytovatel Hostingu Systému je zpracovatelem osobních údajů, Uživatel je správce osobních údajů ve smyslu zákona 101/2000 Sb. O Ochraně osobních údajů </w:t>
      </w:r>
      <w:r>
        <w:rPr>
          <w:rFonts w:ascii="Calibri" w:eastAsia="Calibri" w:hAnsi="Calibri" w:cs="Calibri"/>
          <w:sz w:val="22"/>
          <w:szCs w:val="22"/>
        </w:rPr>
        <w:t>a nařízení evropského parlamentu č. 2006/679 o ochraně osobních údajů fyzických osob (GDPR).</w:t>
      </w:r>
    </w:p>
    <w:p w:rsidR="009453CE" w:rsidRDefault="002029AA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ind w:left="763" w:hanging="763"/>
      </w:pPr>
      <w:r>
        <w:rPr>
          <w:rFonts w:ascii="Calibri" w:eastAsia="Calibri" w:hAnsi="Calibri" w:cs="Calibri"/>
          <w:color w:val="000000"/>
          <w:sz w:val="22"/>
          <w:szCs w:val="22"/>
        </w:rPr>
        <w:t>Správce os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obních údajů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zpracovává  osobní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údaje o čtenářích - jméno, příjmení, datum narození, bydliště uvedená na přihlášce čtenáře za účelem vedení knihovnické agendy, aby bylo umožněno poskytování knihovnických a informačních služeb a byla zabezpečena ochrana kni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hovního fondu. Osobní údaje knihovna používá pouze pro jmenované účely po dobu trvání čtenářského vztahu, chrání je před zneužitím a neposkytuje je třetím osobám. </w:t>
      </w:r>
    </w:p>
    <w:p w:rsidR="009453CE" w:rsidRDefault="002029AA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ind w:left="705" w:hanging="705"/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Poskytovatel  se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zavazuje, jako zpracovatel, osobní údaje (dále jen „osobní údaje“) zpracovávat tímto způsobem (spravuje systém, provádí úpravy softwaru, programové změny apod.). Zpracování se nesmí účastnit žádná třetí osoba.</w:t>
      </w:r>
    </w:p>
    <w:p w:rsidR="009453CE" w:rsidRDefault="002029AA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ind w:left="705" w:hanging="705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Poskytovatel tímto deklaruje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záruky zpracovatele o technickém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organizačním zabezpečení ochrany osobních údajů a mlčenlivost. 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p w:rsidR="009453CE" w:rsidRDefault="002029A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ind w:left="360"/>
        <w:jc w:val="center"/>
        <w:rPr>
          <w:rFonts w:ascii="Arial" w:eastAsia="Arial" w:hAnsi="Arial" w:cs="Arial"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Závěrečná ustanovení</w:t>
      </w:r>
    </w:p>
    <w:p w:rsidR="009453CE" w:rsidRDefault="009453C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Arial" w:eastAsia="Arial" w:hAnsi="Arial" w:cs="Arial"/>
          <w:color w:val="00000A"/>
          <w:sz w:val="22"/>
          <w:szCs w:val="22"/>
        </w:rPr>
      </w:pPr>
    </w:p>
    <w:p w:rsidR="009453CE" w:rsidRDefault="002029AA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Smluvní vztah vzniklý z této Smlouvy se řídí českým právem. Pokud nebylo v této Smlouvě uvedeno jinak, platí v ostatním ustanovení zákona č. 89/2012 Sb., občanského zákoníku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br/>
        <w:t>a zákona č. 121/2000 Sb., o právu autorském.</w:t>
      </w:r>
    </w:p>
    <w:p w:rsidR="009453CE" w:rsidRDefault="002029AA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Tato Smlouva je uzavřena okamžikem j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ejího podpisu a to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dobu neurčitou.</w:t>
      </w:r>
    </w:p>
    <w:p w:rsidR="009453CE" w:rsidRDefault="002029AA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Tato Smlouva je vyhotovena ve dvou stejnopisech, z nichž obdrží každá smluvní strana po jednom. Tato Smlouva nabývá platnosti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účinnosti dnem podpisu obou smluvních stran. Tato Smlouva může být měněna a doplňována pou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ze po dohodě smluvních stran formou číslovaných písemných dodatků, pokud není stanoveno jinak např.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změna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VOP.</w:t>
      </w:r>
    </w:p>
    <w:p w:rsidR="009453CE" w:rsidRDefault="002029AA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Samostatnou součástí této Smlouvy je</w:t>
      </w:r>
    </w:p>
    <w:p w:rsidR="009453CE" w:rsidRDefault="002029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14"/>
          <w:tab w:val="left" w:pos="2268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příloha č. 1 – Specifikace Hostingu Systému Tritius;</w:t>
      </w:r>
    </w:p>
    <w:p w:rsidR="009453CE" w:rsidRDefault="002029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14"/>
          <w:tab w:val="left" w:pos="2268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příloha č. 2 – Všeobecné obchodní podmínky;</w:t>
      </w:r>
    </w:p>
    <w:p w:rsidR="009453CE" w:rsidRDefault="002029AA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 případě,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že by některé ustanovení této Smlouvy bylo nebo se v budoucnu stalo z jakýchkoliv důvodů neplatné, nezpůsobuje neplatnost ostatních částí této Smlouvy. Smluvní strany se zavazují bezodkladně nahradit po vzájemné dohodě toto ustanovení jiným, odpovídajícím </w:t>
      </w:r>
      <w:r>
        <w:rPr>
          <w:rFonts w:ascii="Calibri" w:eastAsia="Calibri" w:hAnsi="Calibri" w:cs="Calibri"/>
          <w:color w:val="000000"/>
          <w:sz w:val="22"/>
          <w:szCs w:val="22"/>
        </w:rPr>
        <w:t>svým obsahem účelu neplatného ustanovení.</w:t>
      </w:r>
    </w:p>
    <w:p w:rsidR="009453CE" w:rsidRDefault="002029AA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se dohodly, že tato smlouva, její případné dodatky či další dokumenty vyplývající dle zákona č.340/2015 Sb. o registru smluv bude uveřejněna v registru smluv, a to v celém jejím rozsahu, neboť obsahu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je-li informace či metadata, které se dle zákona o registru smluv obecně neuveřejňují nebo které mají či mohou být vyloučeny, smluvní strany výslovně souhlasí s tím, aby tato smlouva byla uveřejněna jako celek včetně takových informací a metadat (osobních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údajů apod.). Uveřejnění této smlouvy v registru smluv zajistí bez zbytečného odkladu po jejím uzavření </w:t>
      </w:r>
      <w:r>
        <w:rPr>
          <w:rFonts w:ascii="Calibri" w:eastAsia="Calibri" w:hAnsi="Calibri" w:cs="Calibri"/>
          <w:sz w:val="22"/>
          <w:szCs w:val="22"/>
        </w:rPr>
        <w:t>Objednatel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sz w:val="22"/>
          <w:szCs w:val="22"/>
        </w:rPr>
        <w:t xml:space="preserve">Objednatel </w:t>
      </w:r>
      <w:r>
        <w:rPr>
          <w:rFonts w:ascii="Calibri" w:eastAsia="Calibri" w:hAnsi="Calibri" w:cs="Calibri"/>
          <w:color w:val="000000"/>
          <w:sz w:val="22"/>
          <w:szCs w:val="22"/>
        </w:rPr>
        <w:t>uveřejňující smlouvu se zavazuje splnit podmínky pro to, aby správce registru smluv zaslal potvrzení o uveřejnění smlouvy také dr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uhé smluvní straně. </w:t>
      </w:r>
    </w:p>
    <w:p w:rsidR="009453CE" w:rsidRDefault="002029AA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  <w:tab w:val="left" w:pos="1418"/>
        </w:tabs>
        <w:spacing w:line="276" w:lineRule="auto"/>
        <w:ind w:left="709" w:hanging="709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strany prohlašují, že této Smlouvě porozuměly a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důkaz svého souhlasu s jejími ustanoveními připojují níže své podpisy.</w:t>
      </w:r>
    </w:p>
    <w:p w:rsidR="009453CE" w:rsidRDefault="009453C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:rsidR="009453CE" w:rsidRDefault="009453C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:rsidR="009453CE" w:rsidRDefault="002029AA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/>
        <w:jc w:val="both"/>
        <w:rPr>
          <w:rFonts w:ascii="Arial" w:eastAsia="Arial" w:hAnsi="Arial" w:cs="Arial"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V Táboře  dne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V Boskovicích </w:t>
      </w:r>
      <w:r>
        <w:rPr>
          <w:rFonts w:ascii="Calibri" w:eastAsia="Calibri" w:hAnsi="Calibri" w:cs="Calibri"/>
          <w:color w:val="000000"/>
          <w:sz w:val="22"/>
          <w:szCs w:val="22"/>
        </w:rPr>
        <w:t>dne : 14.6.2018</w:t>
      </w:r>
      <w:bookmarkStart w:id="4" w:name="_GoBack"/>
      <w:bookmarkEnd w:id="4"/>
    </w:p>
    <w:p w:rsidR="009453CE" w:rsidRDefault="009453C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:rsidR="009453CE" w:rsidRDefault="002029AA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3"/>
        <w:jc w:val="both"/>
        <w:rPr>
          <w:rFonts w:ascii="Arial" w:eastAsia="Arial" w:hAnsi="Arial" w:cs="Arial"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Za Poskytovatele: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Za Objednatele:</w:t>
      </w:r>
    </w:p>
    <w:p w:rsidR="009453CE" w:rsidRDefault="009453C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3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:rsidR="009453CE" w:rsidRDefault="009453C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3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:rsidR="009453CE" w:rsidRDefault="009453C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:rsidR="009453CE" w:rsidRDefault="002029AA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……………………………………………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………………………………………...</w:t>
      </w:r>
    </w:p>
    <w:sectPr w:rsidR="009453CE">
      <w:footerReference w:type="default" r:id="rId8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029AA">
      <w:r>
        <w:separator/>
      </w:r>
    </w:p>
  </w:endnote>
  <w:endnote w:type="continuationSeparator" w:id="0">
    <w:p w:rsidR="00000000" w:rsidRDefault="0020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CE" w:rsidRDefault="002029AA">
    <w:pPr>
      <w:widowControl/>
      <w:pBdr>
        <w:top w:val="nil"/>
        <w:left w:val="nil"/>
        <w:bottom w:val="nil"/>
        <w:right w:val="nil"/>
        <w:between w:val="nil"/>
      </w:pBdr>
      <w:spacing w:after="908" w:line="276" w:lineRule="auto"/>
      <w:jc w:val="center"/>
      <w:rPr>
        <w:rFonts w:ascii="Arial" w:eastAsia="Arial" w:hAnsi="Arial" w:cs="Arial"/>
        <w:color w:val="00000A"/>
        <w:sz w:val="22"/>
        <w:szCs w:val="22"/>
      </w:rPr>
    </w:pPr>
    <w:r>
      <w:rPr>
        <w:rFonts w:ascii="Calibri" w:eastAsia="Calibri" w:hAnsi="Calibri" w:cs="Calibri"/>
        <w:color w:val="000000"/>
      </w:rPr>
      <w:t xml:space="preserve">Stránka </w:t>
    </w:r>
    <w:r>
      <w:rPr>
        <w:rFonts w:ascii="Arial" w:eastAsia="Arial" w:hAnsi="Arial" w:cs="Arial"/>
        <w:color w:val="00000A"/>
      </w:rPr>
      <w:fldChar w:fldCharType="begin"/>
    </w:r>
    <w:r>
      <w:rPr>
        <w:rFonts w:ascii="Arial" w:eastAsia="Arial" w:hAnsi="Arial" w:cs="Arial"/>
        <w:color w:val="00000A"/>
      </w:rPr>
      <w:instrText>PAGE</w:instrText>
    </w:r>
    <w:r>
      <w:rPr>
        <w:rFonts w:ascii="Arial" w:eastAsia="Arial" w:hAnsi="Arial" w:cs="Arial"/>
        <w:color w:val="00000A"/>
      </w:rPr>
      <w:fldChar w:fldCharType="separate"/>
    </w:r>
    <w:r>
      <w:rPr>
        <w:rFonts w:ascii="Arial" w:eastAsia="Arial" w:hAnsi="Arial" w:cs="Arial"/>
        <w:noProof/>
        <w:color w:val="00000A"/>
      </w:rPr>
      <w:t>5</w:t>
    </w:r>
    <w:r>
      <w:rPr>
        <w:rFonts w:ascii="Arial" w:eastAsia="Arial" w:hAnsi="Arial" w:cs="Arial"/>
        <w:color w:val="00000A"/>
      </w:rPr>
      <w:fldChar w:fldCharType="end"/>
    </w:r>
    <w:r>
      <w:rPr>
        <w:rFonts w:ascii="Calibri" w:eastAsia="Calibri" w:hAnsi="Calibri" w:cs="Calibri"/>
        <w:color w:val="000000"/>
      </w:rPr>
      <w:t xml:space="preserve"> z </w:t>
    </w:r>
    <w:r>
      <w:rPr>
        <w:rFonts w:ascii="Arial" w:eastAsia="Arial" w:hAnsi="Arial" w:cs="Arial"/>
        <w:color w:val="00000A"/>
      </w:rPr>
      <w:fldChar w:fldCharType="begin"/>
    </w:r>
    <w:r>
      <w:rPr>
        <w:rFonts w:ascii="Arial" w:eastAsia="Arial" w:hAnsi="Arial" w:cs="Arial"/>
        <w:color w:val="00000A"/>
      </w:rPr>
      <w:instrText>NUMPAGES</w:instrText>
    </w:r>
    <w:r>
      <w:rPr>
        <w:rFonts w:ascii="Arial" w:eastAsia="Arial" w:hAnsi="Arial" w:cs="Arial"/>
        <w:color w:val="00000A"/>
      </w:rPr>
      <w:fldChar w:fldCharType="separate"/>
    </w:r>
    <w:r>
      <w:rPr>
        <w:rFonts w:ascii="Arial" w:eastAsia="Arial" w:hAnsi="Arial" w:cs="Arial"/>
        <w:noProof/>
        <w:color w:val="00000A"/>
      </w:rPr>
      <w:t>5</w:t>
    </w:r>
    <w:r>
      <w:rPr>
        <w:rFonts w:ascii="Arial" w:eastAsia="Arial" w:hAnsi="Arial" w:cs="Arial"/>
        <w:color w:val="00000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029AA">
      <w:r>
        <w:separator/>
      </w:r>
    </w:p>
  </w:footnote>
  <w:footnote w:type="continuationSeparator" w:id="0">
    <w:p w:rsidR="00000000" w:rsidRDefault="00202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18BA"/>
    <w:multiLevelType w:val="multilevel"/>
    <w:tmpl w:val="7A4C3CF2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Calibri" w:eastAsia="Calibri" w:hAnsi="Calibri" w:cs="Calibri"/>
        <w:b/>
        <w:strike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Calibri" w:eastAsia="Calibri" w:hAnsi="Calibri" w:cs="Calibri"/>
        <w:b/>
        <w:strike w:val="0"/>
        <w:color w:val="000000"/>
        <w:sz w:val="22"/>
        <w:szCs w:val="22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4">
      <w:start w:val="1"/>
      <w:numFmt w:val="decimal"/>
      <w:lvlText w:val="%1.%2.%3.●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1.%2.%3.●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1.%2.%3.●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1.%2.%3.●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1.%2.%3.●.%5.%6.%7.%8.%9."/>
      <w:lvlJc w:val="left"/>
      <w:pPr>
        <w:ind w:left="3600" w:hanging="360"/>
      </w:pPr>
      <w:rPr>
        <w:vertAlign w:val="baseline"/>
      </w:rPr>
    </w:lvl>
  </w:abstractNum>
  <w:abstractNum w:abstractNumId="1">
    <w:nsid w:val="4D51568B"/>
    <w:multiLevelType w:val="multilevel"/>
    <w:tmpl w:val="D4AA3C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. "/>
      <w:lvlJc w:val="left"/>
      <w:pPr>
        <w:ind w:left="1440" w:hanging="360"/>
      </w:pPr>
      <w:rPr>
        <w:vertAlign w:val="baseline"/>
      </w:rPr>
    </w:lvl>
    <w:lvl w:ilvl="3">
      <w:start w:val="1"/>
      <w:numFmt w:val="lowerLetter"/>
      <w:lvlText w:val=" %2.%3.%4)"/>
      <w:lvlJc w:val="left"/>
      <w:pPr>
        <w:ind w:left="1800" w:hanging="360"/>
      </w:pPr>
      <w:rPr>
        <w:rFonts w:ascii="Calibri" w:eastAsia="Calibri" w:hAnsi="Calibri" w:cs="Calibri"/>
        <w:color w:val="000000"/>
        <w:vertAlign w:val="baseline"/>
      </w:rPr>
    </w:lvl>
    <w:lvl w:ilvl="4">
      <w:start w:val="1"/>
      <w:numFmt w:val="decimal"/>
      <w:lvlText w:val="%5 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 %5.%6. 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 %5.%6.%7. 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 %4.%5.%6.%7.%8 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 %4.%5.%6.%7.%8.%9 "/>
      <w:lvlJc w:val="left"/>
      <w:pPr>
        <w:ind w:left="3600" w:hanging="360"/>
      </w:pPr>
      <w:rPr>
        <w:vertAlign w:val="baseline"/>
      </w:rPr>
    </w:lvl>
  </w:abstractNum>
  <w:abstractNum w:abstractNumId="2">
    <w:nsid w:val="5243146E"/>
    <w:multiLevelType w:val="multilevel"/>
    <w:tmpl w:val="D6503DC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. "/>
      <w:lvlJc w:val="left"/>
      <w:pPr>
        <w:ind w:left="1440" w:hanging="360"/>
      </w:pPr>
      <w:rPr>
        <w:vertAlign w:val="baseline"/>
      </w:rPr>
    </w:lvl>
    <w:lvl w:ilvl="3">
      <w:start w:val="1"/>
      <w:numFmt w:val="lowerLetter"/>
      <w:lvlText w:val=" %2.%3.%4)"/>
      <w:lvlJc w:val="left"/>
      <w:pPr>
        <w:ind w:left="1800" w:hanging="360"/>
      </w:pPr>
      <w:rPr>
        <w:strike w:val="0"/>
        <w:vertAlign w:val="baseline"/>
      </w:rPr>
    </w:lvl>
    <w:lvl w:ilvl="4">
      <w:start w:val="1"/>
      <w:numFmt w:val="decimal"/>
      <w:lvlText w:val="%5 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 %5.%6. 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 %5.%6.%7. 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 %4.%5.%6.%7.%8 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 %4.%5.%6.%7.%8.%9 "/>
      <w:lvlJc w:val="left"/>
      <w:pPr>
        <w:ind w:left="3600" w:hanging="360"/>
      </w:pPr>
      <w:rPr>
        <w:vertAlign w:val="baseline"/>
      </w:rPr>
    </w:lvl>
  </w:abstractNum>
  <w:abstractNum w:abstractNumId="3">
    <w:nsid w:val="77A82DF4"/>
    <w:multiLevelType w:val="multilevel"/>
    <w:tmpl w:val="7102F802"/>
    <w:lvl w:ilvl="0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  <w:strike w:val="0"/>
        <w:vertAlign w:val="baseline"/>
      </w:rPr>
    </w:lvl>
    <w:lvl w:ilvl="1">
      <w:start w:val="1"/>
      <w:numFmt w:val="bullet"/>
      <w:lvlText w:val="◦"/>
      <w:lvlJc w:val="left"/>
      <w:pPr>
        <w:ind w:left="1789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49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09" w:hanging="360"/>
      </w:pPr>
      <w:rPr>
        <w:rFonts w:ascii="Arial" w:eastAsia="Arial" w:hAnsi="Arial" w:cs="Arial"/>
        <w:strike w:val="0"/>
        <w:vertAlign w:val="baseline"/>
      </w:rPr>
    </w:lvl>
    <w:lvl w:ilvl="4">
      <w:start w:val="1"/>
      <w:numFmt w:val="bullet"/>
      <w:lvlText w:val="◦"/>
      <w:lvlJc w:val="left"/>
      <w:pPr>
        <w:ind w:left="2869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229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  <w:strike w:val="0"/>
        <w:vertAlign w:val="baseline"/>
      </w:rPr>
    </w:lvl>
    <w:lvl w:ilvl="7">
      <w:start w:val="1"/>
      <w:numFmt w:val="bullet"/>
      <w:lvlText w:val="◦"/>
      <w:lvlJc w:val="left"/>
      <w:pPr>
        <w:ind w:left="3949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4309" w:hanging="36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53CE"/>
    <w:rsid w:val="002029AA"/>
    <w:rsid w:val="0094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1711</Words>
  <Characters>10095</Characters>
  <Application>Microsoft Office Word</Application>
  <DocSecurity>0</DocSecurity>
  <Lines>84</Lines>
  <Paragraphs>23</Paragraphs>
  <ScaleCrop>false</ScaleCrop>
  <Company>Kulturní zařízení města Boskovice</Company>
  <LinksUpToDate>false</LinksUpToDate>
  <CharactersWithSpaces>11783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Helena Ježková</cp:lastModifiedBy>
  <cp:revision>2</cp:revision>
  <dcterms:created xsi:type="dcterms:W3CDTF">2018-06-28T09:23:00Z</dcterms:created>
  <dcterms:modified xsi:type="dcterms:W3CDTF">2018-06-28T09:26:00Z</dcterms:modified>
</cp:coreProperties>
</file>