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94" w:rsidRDefault="008B4485">
      <w:pPr>
        <w:pStyle w:val="Nadpis10"/>
        <w:keepNext/>
        <w:keepLines/>
        <w:shd w:val="clear" w:color="auto" w:fill="auto"/>
        <w:spacing w:after="0" w:line="320" w:lineRule="exact"/>
        <w:ind w:left="20"/>
      </w:pPr>
      <w:bookmarkStart w:id="0" w:name="bookmark0"/>
      <w:r>
        <w:t>Dodatek č. 1</w:t>
      </w:r>
      <w:bookmarkEnd w:id="0"/>
    </w:p>
    <w:p w:rsidR="00D95094" w:rsidRDefault="008B4485">
      <w:pPr>
        <w:pStyle w:val="Nadpis10"/>
        <w:keepNext/>
        <w:keepLines/>
        <w:shd w:val="clear" w:color="auto" w:fill="auto"/>
        <w:spacing w:after="490" w:line="320" w:lineRule="exact"/>
        <w:ind w:left="20"/>
      </w:pPr>
      <w:bookmarkStart w:id="1" w:name="bookmark1"/>
      <w:r>
        <w:t>k dohodě o zajištění stravovacích služeb</w:t>
      </w:r>
      <w:bookmarkEnd w:id="1"/>
    </w:p>
    <w:p w:rsidR="00D95094" w:rsidRDefault="008B4485">
      <w:pPr>
        <w:pStyle w:val="Zkladntext20"/>
        <w:shd w:val="clear" w:color="auto" w:fill="auto"/>
        <w:spacing w:before="0" w:after="267"/>
        <w:ind w:firstLine="0"/>
      </w:pPr>
      <w:r>
        <w:t xml:space="preserve">Dohoda o zajištění stravovacích služeb uzavřená dne 1. 11. 2004 mezi 11. školní jídelnou Plzeň, Baarova 31, příspěvkovou organizací jako poskytovatelem na straně jedné a </w:t>
      </w:r>
      <w:proofErr w:type="gramStart"/>
      <w:r>
        <w:t>26.základní</w:t>
      </w:r>
      <w:proofErr w:type="gramEnd"/>
      <w:r>
        <w:t xml:space="preserve"> školou Plzeň, Skupova 22, příspěvkovou organizací jako příjemcem na straně druhé se mění takto:</w:t>
      </w:r>
    </w:p>
    <w:p w:rsidR="00D95094" w:rsidRDefault="008B4485">
      <w:pPr>
        <w:pStyle w:val="Nadpis20"/>
        <w:keepNext/>
        <w:keepLines/>
        <w:shd w:val="clear" w:color="auto" w:fill="auto"/>
        <w:spacing w:before="0" w:after="207" w:line="240" w:lineRule="exact"/>
        <w:ind w:left="20" w:firstLine="0"/>
      </w:pPr>
      <w:bookmarkStart w:id="2" w:name="bookmark2"/>
      <w:r>
        <w:t>Článek I.</w:t>
      </w:r>
      <w:bookmarkEnd w:id="2"/>
    </w:p>
    <w:p w:rsidR="00D95094" w:rsidRDefault="008B4485">
      <w:pPr>
        <w:pStyle w:val="Zkladntext20"/>
        <w:shd w:val="clear" w:color="auto" w:fill="auto"/>
        <w:spacing w:before="0" w:after="232" w:line="264" w:lineRule="exact"/>
        <w:ind w:left="720" w:hanging="340"/>
        <w:jc w:val="left"/>
      </w:pPr>
      <w:r>
        <w:rPr>
          <w:rStyle w:val="Zkladntext2Tun"/>
        </w:rPr>
        <w:t xml:space="preserve">1. </w:t>
      </w:r>
      <w:r>
        <w:t xml:space="preserve">V článku VI. POVINNOSTI PŘÍJEMCE se text </w:t>
      </w:r>
      <w:r>
        <w:rPr>
          <w:rStyle w:val="Zkladntext2Tun"/>
        </w:rPr>
        <w:t xml:space="preserve">bodu </w:t>
      </w:r>
      <w:r>
        <w:t xml:space="preserve">VI. </w:t>
      </w:r>
      <w:r>
        <w:rPr>
          <w:rStyle w:val="Zkladntext2Tun"/>
        </w:rPr>
        <w:t xml:space="preserve">1. </w:t>
      </w:r>
      <w:r>
        <w:t>se ruší a nahrazuje se následujícím textem:</w:t>
      </w:r>
    </w:p>
    <w:p w:rsidR="00D95094" w:rsidRDefault="008B4485">
      <w:pPr>
        <w:pStyle w:val="Zkladntext20"/>
        <w:shd w:val="clear" w:color="auto" w:fill="auto"/>
        <w:spacing w:before="0" w:after="447"/>
        <w:ind w:left="1020" w:hanging="480"/>
      </w:pPr>
      <w:r>
        <w:t>VI. 1. Příjemce je oprávněn kontrolovat řádný výkon dohledu nad nezletilými strávníky a v případě, že zjistí nedostatky, je oprávněn vydat poskytovateli (resp. jeho zaměstnanci) pokyn k nápravě.</w:t>
      </w:r>
    </w:p>
    <w:p w:rsidR="00D95094" w:rsidRDefault="008B4485">
      <w:pPr>
        <w:pStyle w:val="Zkladntext20"/>
        <w:shd w:val="clear" w:color="auto" w:fill="auto"/>
        <w:spacing w:before="0" w:after="206" w:line="240" w:lineRule="exact"/>
        <w:ind w:firstLine="0"/>
      </w:pPr>
      <w:r>
        <w:t>2. Do článku V. POVINNOSTI POSKYTOVATELE se vkládají další body tohoto znění:</w:t>
      </w:r>
    </w:p>
    <w:p w:rsidR="00D95094" w:rsidRDefault="008B4485">
      <w:pPr>
        <w:pStyle w:val="Zkladntext20"/>
        <w:shd w:val="clear" w:color="auto" w:fill="auto"/>
        <w:spacing w:before="0" w:after="244"/>
        <w:ind w:left="1020" w:hanging="480"/>
      </w:pPr>
      <w:proofErr w:type="gramStart"/>
      <w:r>
        <w:t>V.5.</w:t>
      </w:r>
      <w:proofErr w:type="gramEnd"/>
      <w:r>
        <w:t xml:space="preserve"> Poskytovatel je školské zařízení, které je ve smyslu § 29 zákona č. 561/2004 Sb., o předškolním, základním, středním, vyšším odborném a jiném vzdělávání (školský zákon) v platném znění povinno zajistit bezpečnost a ochranu zdraví dětí a žáků při poskytování školských služeb.</w:t>
      </w:r>
    </w:p>
    <w:p w:rsidR="00D95094" w:rsidRDefault="008B4485">
      <w:pPr>
        <w:pStyle w:val="Zkladntext20"/>
        <w:shd w:val="clear" w:color="auto" w:fill="auto"/>
        <w:spacing w:before="0" w:line="269" w:lineRule="exact"/>
        <w:ind w:left="1020" w:hanging="480"/>
      </w:pPr>
      <w:proofErr w:type="gramStart"/>
      <w:r>
        <w:t>V.6.</w:t>
      </w:r>
      <w:proofErr w:type="gramEnd"/>
      <w:r>
        <w:t xml:space="preserve"> Poskytovatel se zavazuje provádět řádný dohled nad nezletilými strávníky po dobu jejich pobytu v provozovně zařízení školního stravování na adrese jeho odloučeného pracoviště dle čl. IV. této dohody.</w:t>
      </w:r>
    </w:p>
    <w:p w:rsidR="00D95094" w:rsidRDefault="008B4485">
      <w:pPr>
        <w:pStyle w:val="Zkladntext20"/>
        <w:shd w:val="clear" w:color="auto" w:fill="auto"/>
        <w:spacing w:before="0" w:after="236" w:line="269" w:lineRule="exact"/>
        <w:ind w:left="1020" w:hanging="480"/>
      </w:pPr>
      <w:proofErr w:type="gramStart"/>
      <w:r>
        <w:t>V.7.</w:t>
      </w:r>
      <w:proofErr w:type="gramEnd"/>
      <w:r>
        <w:t xml:space="preserve"> Řádný dohled nad nezletilými strávníky bude poskytovatel provádět v jídelně a na chodbách provozovny zařízení školního stravování tak, aby byla při vynaložení odborné péče zajištěna bezpečnost a ochrana zdraví nezletilých strávníků.</w:t>
      </w:r>
    </w:p>
    <w:p w:rsidR="00D95094" w:rsidRDefault="008B4485">
      <w:pPr>
        <w:pStyle w:val="Zkladntext20"/>
        <w:shd w:val="clear" w:color="auto" w:fill="auto"/>
        <w:spacing w:before="0" w:after="507"/>
        <w:ind w:left="1020" w:hanging="480"/>
      </w:pPr>
      <w:proofErr w:type="gramStart"/>
      <w:r>
        <w:t>V.8.</w:t>
      </w:r>
      <w:proofErr w:type="gramEnd"/>
      <w:r>
        <w:t xml:space="preserve"> Dohled nad nezletilými strávníky bude příjemce zajišťovat při přechodu strávníků ze základní školy do provozovny zařízení školního stravování a zpět.</w:t>
      </w:r>
    </w:p>
    <w:p w:rsidR="00D95094" w:rsidRDefault="008B4485">
      <w:pPr>
        <w:pStyle w:val="Nadpis20"/>
        <w:keepNext/>
        <w:keepLines/>
        <w:shd w:val="clear" w:color="auto" w:fill="auto"/>
        <w:spacing w:before="0" w:after="221" w:line="240" w:lineRule="exact"/>
        <w:ind w:left="20" w:firstLine="0"/>
      </w:pPr>
      <w:bookmarkStart w:id="3" w:name="bookmark3"/>
      <w:r>
        <w:t>Článek II.</w:t>
      </w:r>
      <w:bookmarkEnd w:id="3"/>
    </w:p>
    <w:p w:rsidR="00D95094" w:rsidRDefault="008B4485">
      <w:pPr>
        <w:pStyle w:val="Nadpis20"/>
        <w:keepNext/>
        <w:keepLines/>
        <w:shd w:val="clear" w:color="auto" w:fill="auto"/>
        <w:spacing w:before="0" w:after="0" w:line="240" w:lineRule="exact"/>
        <w:ind w:left="1020"/>
        <w:jc w:val="both"/>
      </w:pPr>
      <w:bookmarkStart w:id="4" w:name="bookmark4"/>
      <w:r>
        <w:rPr>
          <w:rStyle w:val="Nadpis2Netun"/>
        </w:rPr>
        <w:t xml:space="preserve">1. Do článku </w:t>
      </w:r>
      <w:r>
        <w:t xml:space="preserve">VII. ROZLOŽENÍ NÁKLADŮ - </w:t>
      </w:r>
      <w:r>
        <w:rPr>
          <w:rStyle w:val="Nadpis21"/>
          <w:b/>
          <w:bCs/>
        </w:rPr>
        <w:t>Náklady poskytovatele</w:t>
      </w:r>
      <w:r>
        <w:t xml:space="preserve"> </w:t>
      </w:r>
      <w:proofErr w:type="gramStart"/>
      <w:r>
        <w:rPr>
          <w:rStyle w:val="Nadpis2Netun"/>
        </w:rPr>
        <w:t>se</w:t>
      </w:r>
      <w:proofErr w:type="gramEnd"/>
      <w:r>
        <w:rPr>
          <w:rStyle w:val="Nadpis2Netun"/>
        </w:rPr>
        <w:t xml:space="preserve"> za bod</w:t>
      </w:r>
      <w:bookmarkEnd w:id="4"/>
    </w:p>
    <w:p w:rsidR="00D95094" w:rsidRDefault="008B4485">
      <w:pPr>
        <w:pStyle w:val="Zkladntext20"/>
        <w:shd w:val="clear" w:color="auto" w:fill="auto"/>
        <w:spacing w:before="0" w:after="225" w:line="240" w:lineRule="exact"/>
        <w:ind w:left="720" w:firstLine="0"/>
        <w:jc w:val="left"/>
      </w:pPr>
      <w:proofErr w:type="gramStart"/>
      <w:r>
        <w:t>VII.2. vkládají</w:t>
      </w:r>
      <w:proofErr w:type="gramEnd"/>
      <w:r>
        <w:t xml:space="preserve"> další body tohoto znění:</w:t>
      </w:r>
    </w:p>
    <w:p w:rsidR="00D95094" w:rsidRDefault="008B4485">
      <w:pPr>
        <w:pStyle w:val="Zkladntext20"/>
        <w:shd w:val="clear" w:color="auto" w:fill="auto"/>
        <w:spacing w:before="0" w:after="0"/>
        <w:ind w:left="1020"/>
      </w:pPr>
      <w:proofErr w:type="gramStart"/>
      <w:r>
        <w:rPr>
          <w:rStyle w:val="Zkladntext2Tun"/>
        </w:rPr>
        <w:t>VII.3.</w:t>
      </w:r>
      <w:proofErr w:type="gramEnd"/>
      <w:r>
        <w:rPr>
          <w:rStyle w:val="Zkladntext2Tun"/>
        </w:rPr>
        <w:t xml:space="preserve"> </w:t>
      </w:r>
      <w:r>
        <w:t xml:space="preserve">Poskytovatel je povinen hradit úhrady za služby spojené s provozem svého odloučeného pracoviště. Strany se dohodly, že úhrady za služby (odběr el. </w:t>
      </w:r>
      <w:proofErr w:type="gramStart"/>
      <w:r>
        <w:t>energie</w:t>
      </w:r>
      <w:proofErr w:type="gramEnd"/>
      <w:r>
        <w:t>, tepla, TUV, vodné a stočné) budou splatné čtvrtletně zpětně. Služby budou hrazeny na základě vyúčtování (tzv. faktury) ze strany příjemce do 10. kalendářního dne ode dne doručení tohoto vyúčtování poskytovateli. Způsob placení byl dohodnut jako bezhotovostní převod na bankovní účet příjemce vedený u Komerční banky Plzeň.</w:t>
      </w:r>
      <w:r>
        <w:br w:type="page"/>
      </w:r>
    </w:p>
    <w:p w:rsidR="00D95094" w:rsidRDefault="008B4485">
      <w:pPr>
        <w:pStyle w:val="Zkladntext20"/>
        <w:shd w:val="clear" w:color="auto" w:fill="auto"/>
        <w:spacing w:before="0" w:after="244"/>
        <w:ind w:left="1040"/>
      </w:pPr>
      <w:proofErr w:type="gramStart"/>
      <w:r>
        <w:rPr>
          <w:rStyle w:val="Zkladntext2Tun"/>
        </w:rPr>
        <w:lastRenderedPageBreak/>
        <w:t>VII.4.</w:t>
      </w:r>
      <w:proofErr w:type="gramEnd"/>
      <w:r>
        <w:rPr>
          <w:rStyle w:val="Zkladntext2Tun"/>
        </w:rPr>
        <w:t xml:space="preserve"> </w:t>
      </w:r>
      <w:r>
        <w:t>Poskytovatel je povinen dle příslušných právních předpisů zajistit svoz TKO včetně zbytků jídel; současně se zavazuje nejpozději do 1 měsíce ode dne podpisu tohoto dodatku předložit kopie uzavřených smluv příjemci.</w:t>
      </w:r>
    </w:p>
    <w:p w:rsidR="00D95094" w:rsidRDefault="008B4485">
      <w:pPr>
        <w:pStyle w:val="Zkladntext20"/>
        <w:shd w:val="clear" w:color="auto" w:fill="auto"/>
        <w:spacing w:before="0" w:after="476" w:line="269" w:lineRule="exact"/>
        <w:ind w:left="1040"/>
      </w:pPr>
      <w:proofErr w:type="gramStart"/>
      <w:r>
        <w:rPr>
          <w:rStyle w:val="Zkladntext2Tun"/>
        </w:rPr>
        <w:t>VII.5.</w:t>
      </w:r>
      <w:proofErr w:type="gramEnd"/>
      <w:r>
        <w:rPr>
          <w:rStyle w:val="Zkladntext2Tun"/>
        </w:rPr>
        <w:t xml:space="preserve"> </w:t>
      </w:r>
      <w:r>
        <w:t xml:space="preserve">Poskytovatel se zavazuje hradit náklady spojené s běžným udržováním místa plnění do </w:t>
      </w:r>
      <w:proofErr w:type="gramStart"/>
      <w:r>
        <w:t xml:space="preserve">výše </w:t>
      </w:r>
      <w:r w:rsidR="00E7410F">
        <w:t xml:space="preserve">                  </w:t>
      </w:r>
      <w:r>
        <w:t>za</w:t>
      </w:r>
      <w:proofErr w:type="gramEnd"/>
      <w:r>
        <w:t xml:space="preserve"> každou provedenou opravu. Opravy si zajistí poskytovatel.</w:t>
      </w:r>
    </w:p>
    <w:p w:rsidR="00D95094" w:rsidRDefault="008B4485">
      <w:pPr>
        <w:pStyle w:val="Zkladntext20"/>
        <w:shd w:val="clear" w:color="auto" w:fill="auto"/>
        <w:spacing w:before="0"/>
        <w:ind w:left="780" w:hanging="380"/>
        <w:jc w:val="left"/>
      </w:pPr>
      <w:r>
        <w:t xml:space="preserve">2. V článku </w:t>
      </w:r>
      <w:r>
        <w:rPr>
          <w:rStyle w:val="Zkladntext2Tun"/>
        </w:rPr>
        <w:t xml:space="preserve">VII. ROZLOŽENÍ NÁKLADŮ - </w:t>
      </w:r>
      <w:r>
        <w:rPr>
          <w:rStyle w:val="Zkladntext2Tun0"/>
        </w:rPr>
        <w:t>Náklady příjemce</w:t>
      </w:r>
      <w:r>
        <w:rPr>
          <w:rStyle w:val="Zkladntext2Tun"/>
        </w:rPr>
        <w:t xml:space="preserve"> </w:t>
      </w:r>
      <w:r>
        <w:t xml:space="preserve">se body VII.3., VII.4. a </w:t>
      </w:r>
      <w:proofErr w:type="gramStart"/>
      <w:r>
        <w:t>VII.5. ruší</w:t>
      </w:r>
      <w:proofErr w:type="gramEnd"/>
      <w:r>
        <w:t xml:space="preserve"> a současně se vkládá nový bod VII.6. tohoto znění:</w:t>
      </w:r>
    </w:p>
    <w:p w:rsidR="00D95094" w:rsidRDefault="008B4485">
      <w:pPr>
        <w:pStyle w:val="Zkladntext20"/>
        <w:shd w:val="clear" w:color="auto" w:fill="auto"/>
        <w:spacing w:before="0" w:after="507"/>
        <w:ind w:left="1040"/>
      </w:pPr>
      <w:proofErr w:type="gramStart"/>
      <w:r>
        <w:rPr>
          <w:rStyle w:val="Zkladntext2Tun"/>
        </w:rPr>
        <w:t>VII.6.</w:t>
      </w:r>
      <w:proofErr w:type="gramEnd"/>
      <w:r>
        <w:rPr>
          <w:rStyle w:val="Zkladntext2Tun"/>
        </w:rPr>
        <w:t xml:space="preserve"> </w:t>
      </w:r>
      <w:r>
        <w:t xml:space="preserve">Příjemce jako správce nemovitosti bere na vědomí, že nese náklady spojené s opravami a údržbou místa plnění s výjimkou nákladů hrazených poskytovatelem dle bodu </w:t>
      </w:r>
      <w:proofErr w:type="gramStart"/>
      <w:r>
        <w:t>VII.5. tohoto</w:t>
      </w:r>
      <w:proofErr w:type="gramEnd"/>
      <w:r>
        <w:t xml:space="preserve"> dodatku.</w:t>
      </w:r>
    </w:p>
    <w:p w:rsidR="00D95094" w:rsidRDefault="008B4485">
      <w:pPr>
        <w:pStyle w:val="Nadpis30"/>
        <w:keepNext/>
        <w:keepLines/>
        <w:shd w:val="clear" w:color="auto" w:fill="auto"/>
        <w:spacing w:before="0" w:after="204" w:line="240" w:lineRule="exact"/>
        <w:ind w:right="120"/>
      </w:pPr>
      <w:bookmarkStart w:id="5" w:name="bookmark5"/>
      <w:r>
        <w:t>Článek III.</w:t>
      </w:r>
      <w:bookmarkEnd w:id="5"/>
    </w:p>
    <w:p w:rsidR="00D95094" w:rsidRDefault="008B4485">
      <w:pPr>
        <w:pStyle w:val="Zkladntext20"/>
        <w:shd w:val="clear" w:color="auto" w:fill="auto"/>
        <w:spacing w:before="0" w:after="1358" w:line="288" w:lineRule="exact"/>
        <w:ind w:left="200" w:firstLine="0"/>
      </w:pPr>
      <w:r>
        <w:t>Dodatek č. 1 nabývá platnosti dnem podpisu obou smluvních stran a stává se nedílnou součástí Dohody o zajištění stravovacích služeb.</w:t>
      </w:r>
    </w:p>
    <w:p w:rsidR="00D95094" w:rsidRDefault="008B4485">
      <w:pPr>
        <w:pStyle w:val="Zkladntext20"/>
        <w:shd w:val="clear" w:color="auto" w:fill="auto"/>
        <w:spacing w:before="0" w:after="0" w:line="240" w:lineRule="exact"/>
        <w:ind w:firstLine="0"/>
        <w:jc w:val="left"/>
        <w:sectPr w:rsidR="00D95094">
          <w:footerReference w:type="default" r:id="rId7"/>
          <w:pgSz w:w="11900" w:h="16840"/>
          <w:pgMar w:top="1105" w:right="1233" w:bottom="1877" w:left="1450" w:header="0" w:footer="3" w:gutter="0"/>
          <w:cols w:space="720"/>
          <w:noEndnote/>
          <w:titlePg/>
          <w:docGrid w:linePitch="360"/>
        </w:sectPr>
      </w:pPr>
      <w:r>
        <w:rPr>
          <w:noProof/>
          <w:lang w:bidi="ar-SA"/>
        </w:rPr>
        <w:drawing>
          <wp:anchor distT="0" distB="0" distL="2505710" distR="63500" simplePos="0" relativeHeight="377487104" behindDoc="1" locked="0" layoutInCell="1" allowOverlap="1">
            <wp:simplePos x="0" y="0"/>
            <wp:positionH relativeFrom="margin">
              <wp:posOffset>3255010</wp:posOffset>
            </wp:positionH>
            <wp:positionV relativeFrom="paragraph">
              <wp:posOffset>-140335</wp:posOffset>
            </wp:positionV>
            <wp:extent cx="1536065" cy="255905"/>
            <wp:effectExtent l="0" t="0" r="6985" b="0"/>
            <wp:wrapSquare wrapText="left"/>
            <wp:docPr id="5" name="obrázek 5" descr="C:\Users\26BE62~1.H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6BE62~1.HA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255905"/>
                    </a:xfrm>
                    <a:prstGeom prst="rect">
                      <a:avLst/>
                    </a:prstGeom>
                    <a:noFill/>
                  </pic:spPr>
                </pic:pic>
              </a:graphicData>
            </a:graphic>
            <wp14:sizeRelH relativeFrom="page">
              <wp14:pctWidth>0</wp14:pctWidth>
            </wp14:sizeRelH>
            <wp14:sizeRelV relativeFrom="page">
              <wp14:pctHeight>0</wp14:pctHeight>
            </wp14:sizeRelV>
          </wp:anchor>
        </w:drawing>
      </w:r>
      <w:r>
        <w:t>V Plzni dne</w:t>
      </w:r>
    </w:p>
    <w:p w:rsidR="00D95094" w:rsidRDefault="00D95094">
      <w:pPr>
        <w:spacing w:line="240" w:lineRule="exact"/>
        <w:rPr>
          <w:sz w:val="19"/>
          <w:szCs w:val="19"/>
        </w:rPr>
      </w:pPr>
    </w:p>
    <w:p w:rsidR="00D95094" w:rsidRDefault="00D95094">
      <w:pPr>
        <w:spacing w:before="27" w:after="27" w:line="240" w:lineRule="exact"/>
        <w:rPr>
          <w:sz w:val="19"/>
          <w:szCs w:val="19"/>
        </w:rPr>
      </w:pPr>
    </w:p>
    <w:p w:rsidR="00D95094" w:rsidRDefault="00D95094">
      <w:pPr>
        <w:spacing w:line="462" w:lineRule="exact"/>
      </w:pPr>
    </w:p>
    <w:p w:rsidR="00D95094" w:rsidRDefault="00D95094">
      <w:pPr>
        <w:rPr>
          <w:sz w:val="2"/>
          <w:szCs w:val="2"/>
        </w:rPr>
        <w:sectPr w:rsidR="00D95094">
          <w:type w:val="continuous"/>
          <w:pgSz w:w="11900" w:h="16840"/>
          <w:pgMar w:top="935" w:right="1248" w:bottom="805" w:left="1408" w:header="0" w:footer="3" w:gutter="0"/>
          <w:cols w:space="720"/>
          <w:noEndnote/>
          <w:docGrid w:linePitch="360"/>
        </w:sectPr>
      </w:pPr>
    </w:p>
    <w:p w:rsidR="00D95094" w:rsidRDefault="008B4485">
      <w:pPr>
        <w:pStyle w:val="Nadpis30"/>
        <w:keepNext/>
        <w:keepLines/>
        <w:shd w:val="clear" w:color="auto" w:fill="auto"/>
        <w:spacing w:before="0" w:after="0" w:line="278" w:lineRule="exact"/>
        <w:jc w:val="left"/>
      </w:pPr>
      <w:bookmarkStart w:id="6" w:name="bookmark6"/>
      <w:r>
        <w:lastRenderedPageBreak/>
        <w:t xml:space="preserve">11. </w:t>
      </w:r>
      <w:r>
        <w:rPr>
          <w:rStyle w:val="Nadpis3dkovn1pt"/>
          <w:b/>
          <w:bCs/>
        </w:rPr>
        <w:t xml:space="preserve">školní jídelna Plzeň, </w:t>
      </w:r>
      <w:r>
        <w:t>Baarova 31, příspěvková organizace</w:t>
      </w:r>
      <w:bookmarkEnd w:id="6"/>
    </w:p>
    <w:p w:rsidR="00D95094" w:rsidRDefault="008B4485">
      <w:pPr>
        <w:pStyle w:val="Zkladntext20"/>
        <w:shd w:val="clear" w:color="auto" w:fill="auto"/>
        <w:spacing w:before="0" w:after="0" w:line="278" w:lineRule="exact"/>
        <w:ind w:right="780" w:firstLine="0"/>
        <w:jc w:val="left"/>
      </w:pPr>
      <w:bookmarkStart w:id="7" w:name="_GoBack"/>
      <w:bookmarkEnd w:id="7"/>
      <w:r>
        <w:t xml:space="preserve"> ředitelka </w:t>
      </w:r>
      <w:r>
        <w:rPr>
          <w:rStyle w:val="Zkladntext2Kurzva"/>
        </w:rPr>
        <w:t>poskytovatel</w:t>
      </w:r>
    </w:p>
    <w:p w:rsidR="00D95094" w:rsidRDefault="008B4485">
      <w:pPr>
        <w:pStyle w:val="Nadpis30"/>
        <w:keepNext/>
        <w:keepLines/>
        <w:shd w:val="clear" w:color="auto" w:fill="auto"/>
        <w:spacing w:before="0" w:after="0" w:line="278" w:lineRule="exact"/>
        <w:jc w:val="left"/>
      </w:pPr>
      <w:r>
        <w:br w:type="column"/>
      </w:r>
      <w:bookmarkStart w:id="8" w:name="bookmark7"/>
      <w:r>
        <w:lastRenderedPageBreak/>
        <w:t xml:space="preserve">26. </w:t>
      </w:r>
      <w:r>
        <w:rPr>
          <w:rStyle w:val="Nadpis3dkovn1pt"/>
          <w:b/>
          <w:bCs/>
        </w:rPr>
        <w:t xml:space="preserve">základní škola Plzeň, </w:t>
      </w:r>
      <w:r>
        <w:t>Skupova 22, příspěvková organizace</w:t>
      </w:r>
      <w:bookmarkEnd w:id="8"/>
    </w:p>
    <w:p w:rsidR="00D95094" w:rsidRDefault="008B4485">
      <w:pPr>
        <w:pStyle w:val="Zkladntext20"/>
        <w:shd w:val="clear" w:color="auto" w:fill="auto"/>
        <w:spacing w:before="0" w:after="0" w:line="278" w:lineRule="exact"/>
        <w:ind w:right="940" w:firstLine="0"/>
        <w:jc w:val="left"/>
        <w:sectPr w:rsidR="00D95094">
          <w:type w:val="continuous"/>
          <w:pgSz w:w="11900" w:h="16840"/>
          <w:pgMar w:top="950" w:right="1564" w:bottom="4522" w:left="1408" w:header="0" w:footer="3" w:gutter="0"/>
          <w:cols w:num="2" w:space="1267"/>
          <w:noEndnote/>
          <w:docGrid w:linePitch="360"/>
        </w:sectPr>
      </w:pPr>
      <w:r>
        <w:t xml:space="preserve"> ředitelka </w:t>
      </w:r>
      <w:r>
        <w:rPr>
          <w:rStyle w:val="Zkladntext2Kurzva"/>
        </w:rPr>
        <w:t>příjemce</w:t>
      </w:r>
    </w:p>
    <w:p w:rsidR="00D95094" w:rsidRDefault="00D95094">
      <w:pPr>
        <w:spacing w:line="240" w:lineRule="exact"/>
        <w:rPr>
          <w:sz w:val="19"/>
          <w:szCs w:val="19"/>
        </w:rPr>
      </w:pPr>
    </w:p>
    <w:p w:rsidR="00D95094" w:rsidRDefault="00D95094">
      <w:pPr>
        <w:spacing w:before="70" w:after="70" w:line="240" w:lineRule="exact"/>
        <w:rPr>
          <w:sz w:val="19"/>
          <w:szCs w:val="19"/>
        </w:rPr>
      </w:pPr>
    </w:p>
    <w:p w:rsidR="00D95094" w:rsidRDefault="00D95094">
      <w:pPr>
        <w:rPr>
          <w:sz w:val="2"/>
          <w:szCs w:val="2"/>
        </w:rPr>
        <w:sectPr w:rsidR="00D95094">
          <w:type w:val="continuous"/>
          <w:pgSz w:w="11900" w:h="16840"/>
          <w:pgMar w:top="935" w:right="0" w:bottom="935" w:left="0" w:header="0" w:footer="3" w:gutter="0"/>
          <w:cols w:space="720"/>
          <w:noEndnote/>
          <w:docGrid w:linePitch="360"/>
        </w:sectPr>
      </w:pPr>
    </w:p>
    <w:p w:rsidR="00D95094" w:rsidRDefault="008B4485">
      <w:pPr>
        <w:rPr>
          <w:sz w:val="2"/>
          <w:szCs w:val="2"/>
        </w:rPr>
      </w:pPr>
      <w:r>
        <w:rPr>
          <w:noProof/>
          <w:lang w:bidi="ar-SA"/>
        </w:rPr>
        <w:lastRenderedPageBreak/>
        <mc:AlternateContent>
          <mc:Choice Requires="wps">
            <w:drawing>
              <wp:anchor distT="0" distB="262255" distL="63500" distR="1528445" simplePos="0" relativeHeight="377487105" behindDoc="1" locked="0" layoutInCell="1" allowOverlap="1">
                <wp:simplePos x="0" y="0"/>
                <wp:positionH relativeFrom="margin">
                  <wp:posOffset>368300</wp:posOffset>
                </wp:positionH>
                <wp:positionV relativeFrom="paragraph">
                  <wp:posOffset>475615</wp:posOffset>
                </wp:positionV>
                <wp:extent cx="1036320" cy="127000"/>
                <wp:effectExtent l="0" t="0" r="0" b="444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94" w:rsidRDefault="00D95094">
                            <w:pPr>
                              <w:pStyle w:val="Zkladntext40"/>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37.45pt;width:81.6pt;height:10pt;z-index:-125829375;visibility:visible;mso-wrap-style:square;mso-width-percent:0;mso-height-percent:0;mso-wrap-distance-left:5pt;mso-wrap-distance-top:0;mso-wrap-distance-right:120.35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" filled="f" stroked="f">
                <v:textbox style="mso-fit-shape-to-text:t" inset="0,0,0,0">
                  <w:txbxContent>
                    <w:p w:rsidR="00D95094" w:rsidRDefault="00D95094">
                      <w:pPr>
                        <w:pStyle w:val="Zkladntext40"/>
                        <w:shd w:val="clear" w:color="auto" w:fill="auto"/>
                        <w:spacing w:line="200" w:lineRule="exact"/>
                        <w:jc w:val="left"/>
                      </w:pPr>
                    </w:p>
                  </w:txbxContent>
                </v:textbox>
                <w10:wrap type="square" side="right" anchorx="margin"/>
              </v:shape>
            </w:pict>
          </mc:Fallback>
        </mc:AlternateContent>
      </w:r>
    </w:p>
    <w:sectPr w:rsidR="00D95094">
      <w:type w:val="continuous"/>
      <w:pgSz w:w="11900" w:h="16840"/>
      <w:pgMar w:top="935" w:right="2505" w:bottom="935" w:left="1883" w:header="0" w:footer="3" w:gutter="0"/>
      <w:cols w:num="2" w:space="214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85" w:rsidRDefault="008B4485">
      <w:r>
        <w:separator/>
      </w:r>
    </w:p>
  </w:endnote>
  <w:endnote w:type="continuationSeparator" w:id="0">
    <w:p w:rsidR="008B4485" w:rsidRDefault="008B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94" w:rsidRDefault="008B448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6590030</wp:posOffset>
              </wp:positionH>
              <wp:positionV relativeFrom="page">
                <wp:posOffset>10327640</wp:posOffset>
              </wp:positionV>
              <wp:extent cx="60960" cy="1384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94" w:rsidRDefault="008B4485">
                          <w:pPr>
                            <w:pStyle w:val="ZhlavneboZpat0"/>
                            <w:shd w:val="clear" w:color="auto" w:fill="auto"/>
                            <w:spacing w:line="240" w:lineRule="auto"/>
                          </w:pP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8.9pt;margin-top:813.2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" filled="f" stroked="f">
              <v:textbox style="mso-fit-shape-to-text:t" inset="0,0,0,0">
                <w:txbxContent>
                  <w:p w:rsidR="00D95094" w:rsidRDefault="008B4485">
                    <w:pPr>
                      <w:pStyle w:val="ZhlavneboZpat0"/>
                      <w:shd w:val="clear" w:color="auto" w:fill="auto"/>
                      <w:spacing w:line="240" w:lineRule="auto"/>
                    </w:pPr>
                    <w:r>
                      <w:rPr>
                        <w:rStyle w:val="ZhlavneboZpat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85" w:rsidRDefault="008B4485"/>
  </w:footnote>
  <w:footnote w:type="continuationSeparator" w:id="0">
    <w:p w:rsidR="008B4485" w:rsidRDefault="008B44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94"/>
    <w:rsid w:val="007031DE"/>
    <w:rsid w:val="008B4485"/>
    <w:rsid w:val="00D95094"/>
    <w:rsid w:val="00E74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3dkovn1pt">
    <w:name w:val="Nadpis #3 + Řádkování 1 pt"/>
    <w:basedOn w:val="Nadpis3"/>
    <w:rPr>
      <w:rFonts w:ascii="Times New Roman" w:eastAsia="Times New Roman" w:hAnsi="Times New Roman" w:cs="Times New Roman"/>
      <w:b/>
      <w:bCs/>
      <w:i w:val="0"/>
      <w:iCs w:val="0"/>
      <w:smallCaps w:val="0"/>
      <w:strike w:val="0"/>
      <w:color w:val="000000"/>
      <w:spacing w:val="3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32"/>
      <w:szCs w:val="32"/>
    </w:rPr>
  </w:style>
  <w:style w:type="paragraph" w:customStyle="1" w:styleId="Zkladntext20">
    <w:name w:val="Základní text (2)"/>
    <w:basedOn w:val="Normln"/>
    <w:link w:val="Zkladntext2"/>
    <w:pPr>
      <w:shd w:val="clear" w:color="auto" w:fill="FFFFFF"/>
      <w:spacing w:before="600" w:after="240" w:line="274" w:lineRule="exact"/>
      <w:ind w:hanging="64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40" w:after="240" w:line="0" w:lineRule="atLeast"/>
      <w:ind w:hanging="640"/>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35" w:lineRule="exact"/>
      <w:jc w:val="center"/>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26"/>
      <w:szCs w:val="26"/>
    </w:rPr>
  </w:style>
  <w:style w:type="paragraph" w:customStyle="1" w:styleId="Zkladntext50">
    <w:name w:val="Základní text (5)"/>
    <w:basedOn w:val="Normln"/>
    <w:link w:val="Zkladntext5"/>
    <w:pPr>
      <w:shd w:val="clear" w:color="auto" w:fill="FFFFFF"/>
      <w:spacing w:line="197" w:lineRule="exact"/>
      <w:jc w:val="center"/>
    </w:pPr>
    <w:rPr>
      <w:rFonts w:ascii="Arial" w:eastAsia="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3dkovn1pt">
    <w:name w:val="Nadpis #3 + Řádkování 1 pt"/>
    <w:basedOn w:val="Nadpis3"/>
    <w:rPr>
      <w:rFonts w:ascii="Times New Roman" w:eastAsia="Times New Roman" w:hAnsi="Times New Roman" w:cs="Times New Roman"/>
      <w:b/>
      <w:bCs/>
      <w:i w:val="0"/>
      <w:iCs w:val="0"/>
      <w:smallCaps w:val="0"/>
      <w:strike w:val="0"/>
      <w:color w:val="000000"/>
      <w:spacing w:val="3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32"/>
      <w:szCs w:val="32"/>
    </w:rPr>
  </w:style>
  <w:style w:type="paragraph" w:customStyle="1" w:styleId="Zkladntext20">
    <w:name w:val="Základní text (2)"/>
    <w:basedOn w:val="Normln"/>
    <w:link w:val="Zkladntext2"/>
    <w:pPr>
      <w:shd w:val="clear" w:color="auto" w:fill="FFFFFF"/>
      <w:spacing w:before="600" w:after="240" w:line="274" w:lineRule="exact"/>
      <w:ind w:hanging="64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40" w:after="240" w:line="0" w:lineRule="atLeast"/>
      <w:ind w:hanging="640"/>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35" w:lineRule="exact"/>
      <w:jc w:val="center"/>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26"/>
      <w:szCs w:val="26"/>
    </w:rPr>
  </w:style>
  <w:style w:type="paragraph" w:customStyle="1" w:styleId="Zkladntext50">
    <w:name w:val="Základní text (5)"/>
    <w:basedOn w:val="Normln"/>
    <w:link w:val="Zkladntext5"/>
    <w:pPr>
      <w:shd w:val="clear" w:color="auto" w:fill="FFFFFF"/>
      <w:spacing w:line="197" w:lineRule="exact"/>
      <w:jc w:val="center"/>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ECC816B3.dotm</Template>
  <TotalTime>2</TotalTime>
  <Pages>2</Pages>
  <Words>473</Words>
  <Characters>2794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3</cp:revision>
  <dcterms:created xsi:type="dcterms:W3CDTF">2018-04-18T10:14:00Z</dcterms:created>
  <dcterms:modified xsi:type="dcterms:W3CDTF">2018-06-27T10:29:00Z</dcterms:modified>
</cp:coreProperties>
</file>