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r w:rsidRPr="00880EC8">
        <w:rPr>
          <w:rFonts w:ascii="Arial" w:hAnsi="Arial" w:cs="Arial"/>
          <w:b/>
        </w:rPr>
        <w:t>Hrádek Petr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F01EE5">
        <w:rPr>
          <w:rFonts w:ascii="Arial" w:hAnsi="Arial" w:cs="Arial"/>
        </w:rPr>
        <w:t>50xxxxxxxxxxxxxxx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F01EE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>, Strašice 33845</w:t>
      </w:r>
    </w:p>
    <w:p w:rsidR="00AD4CDE" w:rsidRDefault="00880EC8" w:rsidP="00880EC8">
      <w:pPr>
        <w:widowControl/>
        <w:tabs>
          <w:tab w:val="left" w:pos="2835"/>
        </w:tabs>
        <w:rPr>
          <w:rFonts w:ascii="Arial" w:hAnsi="Arial" w:cs="Arial"/>
        </w:rPr>
      </w:pPr>
      <w:r w:rsidRPr="00880E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zastoupen na základě plné moci panem Ing. Petrem Paťhou, trvale bytem Besednice, </w:t>
      </w:r>
      <w:proofErr w:type="spellStart"/>
      <w:r w:rsidR="00F01EE5">
        <w:rPr>
          <w:rFonts w:ascii="Arial" w:hAnsi="Arial" w:cs="Arial"/>
        </w:rPr>
        <w:t>xxxxxxxxxxxxxx</w:t>
      </w:r>
      <w:proofErr w:type="spellEnd"/>
      <w:r>
        <w:rPr>
          <w:rFonts w:ascii="Arial" w:hAnsi="Arial" w:cs="Arial"/>
        </w:rPr>
        <w:t>, 382 81</w:t>
      </w:r>
    </w:p>
    <w:p w:rsidR="00880EC8" w:rsidRPr="00D27771" w:rsidRDefault="00880EC8" w:rsidP="00880EC8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880EC8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880EC8">
        <w:rPr>
          <w:rFonts w:ascii="Arial" w:hAnsi="Arial" w:cs="Arial"/>
        </w:rPr>
        <w:t>číslo</w:t>
      </w:r>
      <w:r w:rsidR="001965CB" w:rsidRPr="00880EC8">
        <w:rPr>
          <w:rFonts w:ascii="Arial" w:hAnsi="Arial" w:cs="Arial"/>
        </w:rPr>
        <w:t>:</w:t>
      </w:r>
      <w:r w:rsidRPr="00880EC8">
        <w:rPr>
          <w:rFonts w:ascii="Arial" w:hAnsi="Arial" w:cs="Arial"/>
        </w:rPr>
        <w:t xml:space="preserve"> 8PR18/09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Slaný pro katastrální území Smečno, obec Smečno.</w:t>
      </w:r>
    </w:p>
    <w:p w:rsidR="00880EC8" w:rsidRPr="00835624" w:rsidRDefault="00880EC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267,80 Kč</w:t>
      </w:r>
      <w:r w:rsidRPr="00835624">
        <w:rPr>
          <w:rFonts w:ascii="Arial" w:hAnsi="Arial" w:cs="Arial"/>
          <w:sz w:val="18"/>
        </w:rPr>
        <w:tab/>
        <w:t>991 m2</w:t>
      </w:r>
      <w:r w:rsidRPr="00835624">
        <w:rPr>
          <w:rFonts w:ascii="Arial" w:hAnsi="Arial" w:cs="Arial"/>
          <w:sz w:val="18"/>
        </w:rPr>
        <w:tab/>
        <w:t xml:space="preserve">5 590,00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991 m2 </w:t>
      </w:r>
      <w:r w:rsidRPr="00835624">
        <w:rPr>
          <w:rFonts w:ascii="Arial" w:hAnsi="Arial" w:cs="Arial"/>
          <w:sz w:val="18"/>
        </w:rPr>
        <w:tab/>
        <w:t>5 590,00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1109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Smečno.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12.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3339/2019,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3 240,80 Kč (slovy: </w:t>
      </w:r>
      <w:proofErr w:type="spellStart"/>
      <w:r w:rsidRPr="00D27771">
        <w:rPr>
          <w:rFonts w:ascii="Arial" w:hAnsi="Arial" w:cs="Arial"/>
        </w:rPr>
        <w:t>třitisícedvěstěčtyřicet</w:t>
      </w:r>
      <w:proofErr w:type="spellEnd"/>
      <w:r w:rsidRPr="00D27771">
        <w:rPr>
          <w:rFonts w:ascii="Arial" w:hAnsi="Arial" w:cs="Arial"/>
        </w:rPr>
        <w:t xml:space="preserve"> korun českých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Praha-východ,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PÚ-828/94-R 7-8 ze dne 4. 5. 1994, kterým oprávněné osobě Hrádek Petr, rodné číslo </w:t>
      </w:r>
      <w:proofErr w:type="spellStart"/>
      <w:r w:rsidR="00F01EE5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Mratín, obce Mratín, okresu Praha-východ. </w:t>
      </w:r>
    </w:p>
    <w:p w:rsidR="00F01EE5" w:rsidRDefault="00F01EE5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Pr="00D27771">
        <w:rPr>
          <w:rFonts w:ascii="Arial" w:hAnsi="Arial" w:cs="Arial"/>
        </w:rPr>
        <w:t>Skyva</w:t>
      </w:r>
      <w:proofErr w:type="spellEnd"/>
      <w:r w:rsidRPr="00D27771">
        <w:rPr>
          <w:rFonts w:ascii="Arial" w:hAnsi="Arial" w:cs="Arial"/>
        </w:rPr>
        <w:t xml:space="preserve"> Jan, ing.,  č.j.  43/97-1173, ze dne 3. 3.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F01EE5">
        <w:rPr>
          <w:rFonts w:ascii="Arial" w:hAnsi="Arial" w:cs="Arial"/>
        </w:rPr>
        <w:t>xxxxxxxxxxxxxxxxxx</w:t>
      </w:r>
      <w:proofErr w:type="spellEnd"/>
      <w:r w:rsidR="00F01EE5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66,00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Praha-východ,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PÚ-R 7-13 ze dne 15. 6. 1995, kterým oprávněné osobě Hrádek Petr, rodné číslo </w:t>
      </w:r>
      <w:proofErr w:type="spellStart"/>
      <w:r w:rsidR="00F01EE5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Mratín, obce Mratín, okresu Praha-východ.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5 524,00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73N17/09, uzavřenou s </w:t>
      </w:r>
      <w:proofErr w:type="spellStart"/>
      <w:proofErr w:type="gramStart"/>
      <w:r w:rsidRPr="00D27771">
        <w:rPr>
          <w:rFonts w:ascii="Arial" w:hAnsi="Arial" w:cs="Arial"/>
        </w:rPr>
        <w:t>Jouza</w:t>
      </w:r>
      <w:proofErr w:type="spellEnd"/>
      <w:proofErr w:type="gramEnd"/>
      <w:r w:rsidRPr="00D27771">
        <w:rPr>
          <w:rFonts w:ascii="Arial" w:hAnsi="Arial" w:cs="Arial"/>
        </w:rPr>
        <w:t xml:space="preserve"> Jiří a Jouzová Iveta, jakožto nájemci.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880EC8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80EC8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880EC8">
        <w:rPr>
          <w:rFonts w:ascii="Arial" w:hAnsi="Arial" w:cs="Arial"/>
          <w:color w:val="000000"/>
          <w:sz w:val="20"/>
          <w:szCs w:val="20"/>
        </w:rPr>
        <w:t xml:space="preserve">......................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  <w:r w:rsidR="00880EC8">
        <w:rPr>
          <w:rFonts w:ascii="Arial" w:hAnsi="Arial" w:cs="Arial"/>
          <w:color w:val="000000"/>
          <w:sz w:val="20"/>
          <w:szCs w:val="20"/>
        </w:rPr>
        <w:t>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EC8" w:rsidRDefault="00880E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EC8" w:rsidRDefault="00880E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EC8" w:rsidRDefault="00880E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EC8" w:rsidRDefault="00880E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EC8" w:rsidRPr="00D27771" w:rsidRDefault="00880E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880EC8">
        <w:rPr>
          <w:rFonts w:ascii="Arial" w:hAnsi="Arial" w:cs="Arial"/>
          <w:color w:val="000000"/>
          <w:sz w:val="20"/>
          <w:szCs w:val="20"/>
        </w:rPr>
        <w:t xml:space="preserve">             Ing. Petr Paťha</w:t>
      </w:r>
    </w:p>
    <w:p w:rsidR="00880EC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  <w:r w:rsidR="00880EC8">
        <w:rPr>
          <w:rFonts w:ascii="Arial" w:hAnsi="Arial" w:cs="Arial"/>
          <w:color w:val="000000"/>
          <w:sz w:val="20"/>
          <w:szCs w:val="20"/>
        </w:rPr>
        <w:t xml:space="preserve">                    zplnomocněný zástupce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80EC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80EC8" w:rsidRDefault="00880E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80EC8" w:rsidRDefault="00880E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880E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80E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80EC8" w:rsidRPr="00D27771" w:rsidRDefault="00880EC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80EC8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880EC8">
        <w:rPr>
          <w:rFonts w:ascii="Arial" w:hAnsi="Arial" w:cs="Arial"/>
          <w:color w:val="000000"/>
        </w:rPr>
        <w:t>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Pr="00D27771" w:rsidRDefault="00880EC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80EC8" w:rsidRPr="00D27771" w:rsidRDefault="00880EC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880EC8">
        <w:rPr>
          <w:rFonts w:ascii="Arial" w:hAnsi="Arial" w:cs="Arial"/>
          <w:color w:val="000000"/>
        </w:rPr>
        <w:t> Králově Dvoře dne  …………………..</w:t>
      </w: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Default="00880EC8">
      <w:pPr>
        <w:widowControl/>
        <w:rPr>
          <w:rFonts w:ascii="Arial" w:hAnsi="Arial" w:cs="Arial"/>
          <w:color w:val="000000"/>
        </w:rPr>
      </w:pPr>
    </w:p>
    <w:p w:rsidR="00880EC8" w:rsidRPr="00D27771" w:rsidRDefault="00880EC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13997,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626CA"/>
    <w:multiLevelType w:val="hybridMultilevel"/>
    <w:tmpl w:val="3E50005E"/>
    <w:lvl w:ilvl="0" w:tplc="895AB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0EC8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01EE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13E68"/>
  <w14:defaultImageDpi w14:val="0"/>
  <w15:docId w15:val="{09645746-CE79-46DA-AC62-4AC080F9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2018-06-27T08:38:00Z</dcterms:created>
  <dcterms:modified xsi:type="dcterms:W3CDTF">2018-06-27T08:38:00Z</dcterms:modified>
</cp:coreProperties>
</file>