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AF" w:rsidRDefault="000B657B">
      <w:pPr>
        <w:spacing w:before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SMLOUVA O CENTRALIZOVANÉM ZADÁVÁNÍ </w:t>
      </w:r>
    </w:p>
    <w:p w:rsidR="00FB42AF" w:rsidRDefault="000B657B">
      <w:pPr>
        <w:spacing w:before="0" w:line="240" w:lineRule="aut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dále jen jako „Smlouva“</w:t>
      </w:r>
    </w:p>
    <w:p w:rsidR="00FB42AF" w:rsidRDefault="000B657B">
      <w:pPr>
        <w:spacing w:before="0" w:line="240" w:lineRule="auto"/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uzavřená v souladu s § 9 odst. 4 zákona č. 134/2016 Sb., o zadávání veřejných zakázek (dále jen</w:t>
      </w:r>
    </w:p>
    <w:p w:rsidR="00FB42AF" w:rsidRDefault="000B657B">
      <w:pPr>
        <w:spacing w:before="0" w:line="240" w:lineRule="auto"/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„Zákon“), a v souladu s § 1746 odst. 2 zákona č. 89/2012 Sb., občanský zákoník.</w:t>
      </w:r>
    </w:p>
    <w:p w:rsidR="00FB42AF" w:rsidRDefault="00FB42AF">
      <w:pPr>
        <w:spacing w:before="0" w:line="240" w:lineRule="auto"/>
        <w:rPr>
          <w:rFonts w:ascii="Calibri" w:hAnsi="Calibri"/>
          <w:sz w:val="20"/>
        </w:rPr>
      </w:pPr>
    </w:p>
    <w:p w:rsidR="00FB42AF" w:rsidRDefault="000B657B">
      <w:pPr>
        <w:spacing w:before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mezi </w:t>
      </w:r>
      <w:r>
        <w:rPr>
          <w:rFonts w:ascii="Calibri" w:hAnsi="Calibri"/>
          <w:sz w:val="20"/>
        </w:rPr>
        <w:t>následujícími stranami:</w:t>
      </w:r>
    </w:p>
    <w:p w:rsidR="00FB42AF" w:rsidRDefault="00FB42AF">
      <w:pPr>
        <w:spacing w:before="0" w:line="240" w:lineRule="auto"/>
        <w:rPr>
          <w:rFonts w:ascii="Calibri" w:hAnsi="Calibri"/>
          <w:sz w:val="20"/>
        </w:rPr>
      </w:pP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Centrální zadavatel: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Statutární město Ostrava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Sídlem: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Prokešovo náměstí 8, 729 30 Ostrava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IČO: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00845451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DIČ: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CZ00845451 – je plátcem DPH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Zastoupen: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Ing. Tomášem Macurou, MBA, primátorem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(dále jen „Centrální zadavatel</w:t>
      </w:r>
      <w:r>
        <w:rPr>
          <w:rFonts w:ascii="Calibri" w:hAnsi="Calibri"/>
          <w:sz w:val="20"/>
        </w:rPr>
        <w:t>“)</w:t>
      </w:r>
    </w:p>
    <w:p w:rsidR="00FB42AF" w:rsidRDefault="00FB42AF">
      <w:pPr>
        <w:spacing w:before="0" w:after="60" w:line="240" w:lineRule="auto"/>
        <w:rPr>
          <w:rFonts w:ascii="Calibri" w:hAnsi="Calibri"/>
          <w:sz w:val="20"/>
        </w:rPr>
      </w:pP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</w:p>
    <w:p w:rsidR="00FB42AF" w:rsidRDefault="00FB42AF">
      <w:pPr>
        <w:spacing w:before="0" w:after="60" w:line="240" w:lineRule="auto"/>
        <w:rPr>
          <w:rFonts w:ascii="Calibri" w:hAnsi="Calibri"/>
          <w:sz w:val="20"/>
        </w:rPr>
      </w:pP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Pověřující zadavatel: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Sídlem: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IČO: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DIČ: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Zastoupen: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(dále jen „Pověřující zadavatel“)</w:t>
      </w:r>
    </w:p>
    <w:p w:rsidR="00FB42AF" w:rsidRDefault="00FB42AF">
      <w:pPr>
        <w:spacing w:before="0" w:after="60" w:line="240" w:lineRule="auto"/>
        <w:rPr>
          <w:rFonts w:ascii="Calibri" w:hAnsi="Calibri"/>
          <w:sz w:val="20"/>
        </w:rPr>
      </w:pPr>
    </w:p>
    <w:p w:rsidR="00FB42AF" w:rsidRDefault="000B657B">
      <w:pPr>
        <w:spacing w:before="0" w:after="6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(Centrální zadavatel a Pověřující zadavatel společně dále jen „Smluvní strany‘)</w:t>
      </w:r>
    </w:p>
    <w:p w:rsidR="00FB42AF" w:rsidRDefault="00FB42AF">
      <w:pPr>
        <w:pStyle w:val="Default"/>
        <w:spacing w:before="120" w:after="120"/>
      </w:pP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1.</w:t>
      </w: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Předmět a účel </w:t>
      </w:r>
      <w:r>
        <w:rPr>
          <w:rFonts w:asciiTheme="minorHAnsi" w:hAnsiTheme="minorHAnsi"/>
          <w:b/>
          <w:bCs/>
          <w:sz w:val="20"/>
          <w:szCs w:val="20"/>
        </w:rPr>
        <w:t>Smlouvy</w:t>
      </w:r>
    </w:p>
    <w:p w:rsidR="00FB42AF" w:rsidRDefault="000B657B">
      <w:pPr>
        <w:pStyle w:val="Odstavec1"/>
        <w:numPr>
          <w:ilvl w:val="1"/>
          <w:numId w:val="2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Účelem této smlouvy je organizace zadávacích řízení ve smyslu § 9 Zákona s cílem zajištění dodávek dále uvedených komodit pro Pověřujícího zadavatele.</w:t>
      </w:r>
    </w:p>
    <w:p w:rsidR="00FB42AF" w:rsidRDefault="000B657B">
      <w:pPr>
        <w:pStyle w:val="Odstavec1"/>
        <w:numPr>
          <w:ilvl w:val="1"/>
          <w:numId w:val="2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Centrální zadavatel a Pověřující zadavatel uzavírají Smlouvu v souladu s ust. § 9 odst. 4 Zákona.</w:t>
      </w:r>
      <w:r>
        <w:rPr>
          <w:rFonts w:asciiTheme="minorHAnsi" w:hAnsiTheme="minorHAnsi"/>
          <w:sz w:val="20"/>
          <w:szCs w:val="20"/>
        </w:rPr>
        <w:t xml:space="preserve"> Předmětem Smlouvy je úprava vzájemných práv a povinností Smluvních stran souvisejících s centralizovaným zadáváním veřejných zakázek:</w:t>
      </w:r>
    </w:p>
    <w:tbl>
      <w:tblPr>
        <w:tblStyle w:val="Mkatabulky"/>
        <w:tblW w:w="9146" w:type="dxa"/>
        <w:tblInd w:w="709" w:type="dxa"/>
        <w:tblLook w:val="04A0" w:firstRow="1" w:lastRow="0" w:firstColumn="1" w:lastColumn="0" w:noHBand="0" w:noVBand="1"/>
      </w:tblPr>
      <w:tblGrid>
        <w:gridCol w:w="2517"/>
        <w:gridCol w:w="4423"/>
        <w:gridCol w:w="2206"/>
      </w:tblGrid>
      <w:tr w:rsidR="00FB42AF">
        <w:trPr>
          <w:trHeight w:val="680"/>
        </w:trPr>
        <w:tc>
          <w:tcPr>
            <w:tcW w:w="2517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B42AF" w:rsidRDefault="000B657B">
            <w:pPr>
              <w:pStyle w:val="Odstavec1"/>
              <w:spacing w:before="120" w:after="120"/>
              <w:jc w:val="lef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Předpokládaný název veřejné zakázky</w:t>
            </w:r>
          </w:p>
        </w:tc>
        <w:tc>
          <w:tcPr>
            <w:tcW w:w="442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B42AF" w:rsidRDefault="000B657B">
            <w:pPr>
              <w:pStyle w:val="Odstavec1"/>
              <w:spacing w:before="120" w:after="120"/>
              <w:jc w:val="lef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Věcné vymezení (CPV kód)</w:t>
            </w:r>
          </w:p>
        </w:tc>
        <w:tc>
          <w:tcPr>
            <w:tcW w:w="220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B42AF" w:rsidRDefault="000B657B">
            <w:pPr>
              <w:pStyle w:val="Odstavec1"/>
              <w:spacing w:before="120" w:after="120"/>
              <w:jc w:val="lef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Podpis pověřujícího zadavatele</w:t>
            </w:r>
          </w:p>
        </w:tc>
      </w:tr>
      <w:tr w:rsidR="00FB42AF">
        <w:trPr>
          <w:trHeight w:val="680"/>
        </w:trPr>
        <w:tc>
          <w:tcPr>
            <w:tcW w:w="2517" w:type="dxa"/>
            <w:shd w:val="clear" w:color="auto" w:fill="auto"/>
            <w:tcMar>
              <w:left w:w="108" w:type="dxa"/>
            </w:tcMar>
            <w:vAlign w:val="center"/>
          </w:tcPr>
          <w:p w:rsidR="00FB42AF" w:rsidRDefault="000B657B">
            <w:pPr>
              <w:pStyle w:val="Odstavec1"/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Dodávky elektrické energie</w:t>
            </w:r>
          </w:p>
        </w:tc>
        <w:tc>
          <w:tcPr>
            <w:tcW w:w="4423" w:type="dxa"/>
            <w:shd w:val="clear" w:color="auto" w:fill="auto"/>
            <w:tcMar>
              <w:left w:w="108" w:type="dxa"/>
            </w:tcMar>
            <w:vAlign w:val="center"/>
          </w:tcPr>
          <w:p w:rsidR="00FB42AF" w:rsidRDefault="000B657B">
            <w:pPr>
              <w:pStyle w:val="Odstavec1"/>
              <w:spacing w:before="120" w:after="120"/>
              <w:jc w:val="lef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9310000-5 Elektrická energie</w:t>
            </w:r>
          </w:p>
        </w:tc>
        <w:tc>
          <w:tcPr>
            <w:tcW w:w="220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B42AF" w:rsidRDefault="00FB42AF">
            <w:pPr>
              <w:pStyle w:val="Odstavec1"/>
              <w:spacing w:before="120" w:after="120"/>
              <w:jc w:val="left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FB42AF">
        <w:trPr>
          <w:trHeight w:val="680"/>
        </w:trPr>
        <w:tc>
          <w:tcPr>
            <w:tcW w:w="2517" w:type="dxa"/>
            <w:shd w:val="clear" w:color="auto" w:fill="auto"/>
            <w:tcMar>
              <w:left w:w="108" w:type="dxa"/>
            </w:tcMar>
            <w:vAlign w:val="center"/>
          </w:tcPr>
          <w:p w:rsidR="00FB42AF" w:rsidRDefault="000B657B">
            <w:pPr>
              <w:pStyle w:val="Odstavec1"/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Dodávky zemního plynu</w:t>
            </w:r>
          </w:p>
        </w:tc>
        <w:tc>
          <w:tcPr>
            <w:tcW w:w="4423" w:type="dxa"/>
            <w:shd w:val="clear" w:color="auto" w:fill="auto"/>
            <w:tcMar>
              <w:left w:w="108" w:type="dxa"/>
            </w:tcMar>
            <w:vAlign w:val="center"/>
          </w:tcPr>
          <w:p w:rsidR="00FB42AF" w:rsidRDefault="000B657B">
            <w:pPr>
              <w:pStyle w:val="Odstavec1"/>
              <w:spacing w:before="120" w:after="120"/>
              <w:jc w:val="lef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09123000-7 Zemní plyn</w:t>
            </w:r>
          </w:p>
        </w:tc>
        <w:tc>
          <w:tcPr>
            <w:tcW w:w="220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B42AF" w:rsidRDefault="00FB42AF">
            <w:pPr>
              <w:pStyle w:val="Odstavec1"/>
              <w:spacing w:before="120" w:after="120"/>
              <w:jc w:val="left"/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FB42AF" w:rsidRDefault="000B657B">
      <w:pPr>
        <w:pStyle w:val="Odstavec1"/>
        <w:spacing w:before="120" w:after="120"/>
        <w:ind w:left="709"/>
        <w:rPr>
          <w:rFonts w:asciiTheme="minorHAnsi" w:hAnsiTheme="minorHAnsi"/>
          <w:i/>
          <w:sz w:val="16"/>
          <w:szCs w:val="20"/>
        </w:rPr>
      </w:pPr>
      <w:r>
        <w:rPr>
          <w:rFonts w:asciiTheme="minorHAnsi" w:hAnsiTheme="minorHAnsi"/>
          <w:i/>
          <w:sz w:val="16"/>
          <w:szCs w:val="20"/>
        </w:rPr>
        <w:t>Pozn.: podpis pouze u těch veřejných zakázek na plnění, které má Pověřující zadavatel zájem pořizovat prostřednictvím Centrálního zadavatele</w:t>
      </w:r>
    </w:p>
    <w:p w:rsidR="00FB42AF" w:rsidRDefault="000B657B">
      <w:pPr>
        <w:pStyle w:val="Odstavec1"/>
        <w:spacing w:before="120" w:after="120"/>
        <w:ind w:left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(předmět plnění shora uvedených </w:t>
      </w:r>
      <w:r>
        <w:rPr>
          <w:rFonts w:asciiTheme="minorHAnsi" w:hAnsiTheme="minorHAnsi"/>
          <w:sz w:val="20"/>
          <w:szCs w:val="20"/>
        </w:rPr>
        <w:t>veřejných zakázek dále jen „Komodity“).</w:t>
      </w:r>
    </w:p>
    <w:p w:rsidR="00FB42AF" w:rsidRDefault="000B657B">
      <w:pPr>
        <w:pStyle w:val="Odstavec1"/>
        <w:numPr>
          <w:ilvl w:val="1"/>
          <w:numId w:val="2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Centrální zadavatel bude ve smyslu § 9 odst. 1 písm. b) Zákona provádět centralizované zadávání veřejných zakázek specifikovaných v čl. 1 odst. 1.2 Smlouvy (dále jen „Veřejná zakázka“), a to na základě této Smlouvy a</w:t>
      </w:r>
      <w:r>
        <w:rPr>
          <w:rFonts w:asciiTheme="minorHAnsi" w:hAnsiTheme="minorHAnsi"/>
          <w:sz w:val="20"/>
          <w:szCs w:val="20"/>
        </w:rPr>
        <w:t xml:space="preserve"> dalších obdobných smluv s totožným obsahem uzavřených s jinými pověřujícími zadavateli.</w:t>
      </w:r>
    </w:p>
    <w:p w:rsidR="00FB42AF" w:rsidRDefault="000B657B">
      <w:pPr>
        <w:pStyle w:val="Odstavec1"/>
        <w:spacing w:before="120" w:after="120"/>
        <w:ind w:left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Smluvní strany se dohodly, že na základě této Smlouvy může být realizováno i více zadávacích řízení pro jednu Komoditu, a to v případě opakovaného zadání veřejné zakáz</w:t>
      </w:r>
      <w:r>
        <w:rPr>
          <w:rFonts w:asciiTheme="minorHAnsi" w:hAnsiTheme="minorHAnsi"/>
          <w:sz w:val="20"/>
          <w:szCs w:val="20"/>
        </w:rPr>
        <w:t>ky na plnění v navazujícím období.</w:t>
      </w:r>
    </w:p>
    <w:p w:rsidR="00FB42AF" w:rsidRDefault="000B657B">
      <w:pPr>
        <w:pStyle w:val="Odstavec1"/>
        <w:spacing w:before="120" w:after="120"/>
        <w:ind w:left="709"/>
        <w:rPr>
          <w:rFonts w:asciiTheme="minorHAnsi" w:hAnsiTheme="minorHAnsi"/>
          <w:sz w:val="20"/>
          <w:szCs w:val="20"/>
          <w:highlight w:val="cyan"/>
        </w:rPr>
      </w:pPr>
      <w:r>
        <w:rPr>
          <w:rFonts w:asciiTheme="minorHAnsi" w:hAnsiTheme="minorHAnsi"/>
          <w:sz w:val="20"/>
          <w:szCs w:val="20"/>
        </w:rPr>
        <w:t>Smluvní strany se dohodly, že o způsobu pořízení Komodit rozhoduje výlučně Centrální zadavatel, a to v souladu se Zákonem.</w:t>
      </w:r>
    </w:p>
    <w:p w:rsidR="00FB42AF" w:rsidRDefault="000B657B">
      <w:pPr>
        <w:pStyle w:val="Odstavec1"/>
        <w:numPr>
          <w:ilvl w:val="1"/>
          <w:numId w:val="2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základě Centrálním zadavatelem provedeného zadávacího řízení uzavřou Pověřující zadavatelé, nen</w:t>
      </w:r>
      <w:r>
        <w:rPr>
          <w:rFonts w:asciiTheme="minorHAnsi" w:hAnsiTheme="minorHAnsi"/>
          <w:sz w:val="20"/>
          <w:szCs w:val="20"/>
        </w:rPr>
        <w:t>í-li v rámci konkrétní veřejné zakázky stanoveno jinak, pro každou veřejnou zakázku s vítězným účastníkem samostatné smlouvy, jejíchž předmětem budou dodávky konkrétního plnění (dále jen jednotlivě jako „Prováděcí smlouva“), a to ve prospěch Pověřujícího z</w:t>
      </w:r>
      <w:r>
        <w:rPr>
          <w:rFonts w:asciiTheme="minorHAnsi" w:hAnsiTheme="minorHAnsi"/>
          <w:sz w:val="20"/>
          <w:szCs w:val="20"/>
        </w:rPr>
        <w:t xml:space="preserve">adavatele. Prováděcí smlouva bude uzavřena na dobu určitou, max. ale na dobu 4 let. </w:t>
      </w:r>
    </w:p>
    <w:p w:rsidR="00FB42AF" w:rsidRDefault="000B657B">
      <w:pPr>
        <w:pStyle w:val="Odstavec1"/>
        <w:numPr>
          <w:ilvl w:val="1"/>
          <w:numId w:val="2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Náklady spojené s uzavřením Prováděcí smlouvy nese Pověřující zadavatel. </w:t>
      </w:r>
    </w:p>
    <w:p w:rsidR="00FB42AF" w:rsidRDefault="000B657B">
      <w:pPr>
        <w:pStyle w:val="Odstavec1"/>
        <w:numPr>
          <w:ilvl w:val="1"/>
          <w:numId w:val="2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Centrální zadavatel si vyhrazuje právo pověřit realizací zadávacího řízení na veřejnou zakázku na</w:t>
      </w:r>
      <w:r>
        <w:rPr>
          <w:rFonts w:asciiTheme="minorHAnsi" w:hAnsiTheme="minorHAnsi"/>
          <w:sz w:val="20"/>
          <w:szCs w:val="20"/>
        </w:rPr>
        <w:t xml:space="preserve"> pořízení Komodit třetí osobu (dále jen „Administrátor“) v souladu s ust. § 43 Zákona. Centrální zadavatel odpovídá za sjednání práv a povinností Administrátora. Náklady s tím spojené nese Centrální zadavatel. </w:t>
      </w:r>
    </w:p>
    <w:p w:rsidR="00FB42AF" w:rsidRDefault="000B657B">
      <w:pPr>
        <w:pStyle w:val="Odstavec1"/>
        <w:numPr>
          <w:ilvl w:val="1"/>
          <w:numId w:val="2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Smluvní strany se pro vyloučení pochybností v</w:t>
      </w:r>
      <w:r>
        <w:rPr>
          <w:rFonts w:asciiTheme="minorHAnsi" w:hAnsiTheme="minorHAnsi"/>
          <w:sz w:val="20"/>
          <w:szCs w:val="20"/>
        </w:rPr>
        <w:t>ýslovně dohodly, že Zadávací řízení může být po dobu trvání Smlouvy provedeno vícekrát než pouze jednou.</w:t>
      </w:r>
    </w:p>
    <w:p w:rsidR="00FB42AF" w:rsidRDefault="00FB42AF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2. </w:t>
      </w: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Práva a povinnosti smluvních stran 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Smluvní strany jsou povinny si poskytovat vzájemnou součinnost při plnění této Smlouvy, a to zejména pro naplnění účelu této Smlouvy a realizaci předmětu této Smlouvy. 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Pověřující zadavatel zmocňuje podpisem Smlouvy Centrálního zadavatele k přípravě a prov</w:t>
      </w:r>
      <w:r>
        <w:rPr>
          <w:rFonts w:asciiTheme="minorHAnsi" w:hAnsiTheme="minorHAnsi"/>
          <w:sz w:val="20"/>
          <w:szCs w:val="20"/>
        </w:rPr>
        <w:t xml:space="preserve">edení zadávacích řízení dle této Smlouvy včetně všech právních jednání s tím souvisejících. Toto zmocnění je platné po celou dobu trvání této Smlouvy. 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Pověřující zadavatel je povinen ve lhůtě přiměřeně stanovené Centrálním zadavatelem sdělit Centrálnímu z</w:t>
      </w:r>
      <w:r>
        <w:rPr>
          <w:rFonts w:asciiTheme="minorHAnsi" w:hAnsiTheme="minorHAnsi"/>
          <w:sz w:val="20"/>
          <w:szCs w:val="20"/>
        </w:rPr>
        <w:t>adavateli veškeré skutečnosti potřebné pro řádné fungování centralizovaného zadávaní, zejména relevantní informace nezbytné ke specifikaci zadávacích podmínek, případně informace, které si za tímto účelem Centrální zadavatel vyžádá. Takto získané informace</w:t>
      </w:r>
      <w:r>
        <w:rPr>
          <w:rFonts w:asciiTheme="minorHAnsi" w:hAnsiTheme="minorHAnsi"/>
          <w:sz w:val="20"/>
          <w:szCs w:val="20"/>
        </w:rPr>
        <w:t xml:space="preserve"> je Centrální zadavatel oprávněn použít výlučně pro činnosti spojené s centralizovaným zadáváním Komodit. Smluvní strany se zavazují si poskytovat rovněž informace za účelem řádného průběhu zadávacího řízení dle příslušného zákona (vč. poskytnutí informací</w:t>
      </w:r>
      <w:r>
        <w:rPr>
          <w:rFonts w:asciiTheme="minorHAnsi" w:hAnsiTheme="minorHAnsi"/>
          <w:sz w:val="20"/>
          <w:szCs w:val="20"/>
        </w:rPr>
        <w:t xml:space="preserve"> za účelem vysvětlení dle § 98 Zákona příp. za účelem postupu dle § 99 Zákona), uzavření příslušných smluv, komunikace s orgánem dohledu nebo soudem a realizace dodávek konkrétně požadovaných komodit.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Smluvní strany jsou povinny plnit své závazky vyplývají</w:t>
      </w:r>
      <w:r>
        <w:rPr>
          <w:rFonts w:asciiTheme="minorHAnsi" w:hAnsiTheme="minorHAnsi"/>
          <w:sz w:val="20"/>
          <w:szCs w:val="20"/>
        </w:rPr>
        <w:t>cí ze Smlouvy tak, aby nedocházelo k prodlení s dodržováním zákonných či dohodnutých termínů.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Centrální zadavatel se zavazuje informovat Pověřujícího zadavatele o průběhu zadávacího řízení, kdykoliv o to požádá písemným dotazem, a to ve lhůtě 5 pracovních </w:t>
      </w:r>
      <w:r>
        <w:rPr>
          <w:rFonts w:asciiTheme="minorHAnsi" w:hAnsiTheme="minorHAnsi"/>
          <w:sz w:val="20"/>
          <w:szCs w:val="20"/>
        </w:rPr>
        <w:t>dnů ode dne, kdy písemnou žádost Pověřujícího zadavatele obdržel.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případě, že bude v souladu s § 127 Zákona zrušeno Zadávací řízení, Centrální zadavatel bezodkladně oznámí tuto skutečnost Pověřujícímu zadavateli. Pověřující zadavatel je povinen a zavazuj</w:t>
      </w:r>
      <w:r>
        <w:rPr>
          <w:rFonts w:asciiTheme="minorHAnsi" w:hAnsiTheme="minorHAnsi"/>
          <w:sz w:val="20"/>
          <w:szCs w:val="20"/>
        </w:rPr>
        <w:t>e se akceptovat obchodní podmínky stanovené Centrálním zadavatelem a tyto respektovat v Prováděcí smlouvě uzavřené s vybraným dodavatelem. Dále se Pověřující zadavatel zavazuje vykonávat práva a povinnosti ve vztahu k vybranému dodavateli, se kterým Provád</w:t>
      </w:r>
      <w:r>
        <w:rPr>
          <w:rFonts w:asciiTheme="minorHAnsi" w:hAnsiTheme="minorHAnsi"/>
          <w:sz w:val="20"/>
          <w:szCs w:val="20"/>
        </w:rPr>
        <w:t xml:space="preserve">ěcí smlouvu uzavřel. V případě porušení této povinnosti odpovídá za případnou škodu Pověřující zadavatel. To neplatí, nastanou-li okolnosti vylučující odpovědnost za škodu dle obecných právních předpisů. 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Pověřující zadavatel se zavazuje veškeré Komodity, </w:t>
      </w:r>
      <w:r>
        <w:rPr>
          <w:rFonts w:asciiTheme="minorHAnsi" w:hAnsiTheme="minorHAnsi"/>
          <w:sz w:val="20"/>
          <w:szCs w:val="20"/>
        </w:rPr>
        <w:t>u kterých se v čl. 1.2 této Smlouvy zavázal k pořizování prostřednictvím Centrálního zadavatele, obstarávat od vybraného dodavatele / dodavatelů.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Centrální zadavatel se zavazuje plnit v rámci realizace Veřejné zakázky veškeré Zákonem stanovené uveřejňovací</w:t>
      </w:r>
      <w:r>
        <w:rPr>
          <w:rFonts w:asciiTheme="minorHAnsi" w:hAnsiTheme="minorHAnsi"/>
          <w:sz w:val="20"/>
          <w:szCs w:val="20"/>
        </w:rPr>
        <w:t xml:space="preserve"> povinnosti, a to jak ve vztahu k Věstníku veřejných zakázek, tak Úřednímu věstníku Evropské unie, resp. profilu Centrálního zadavatele. V případě Prováděcích smluv uzavřených na základě výsledku zadávacího řízení plní povinnost uveřejnění smlouvy dle § 21</w:t>
      </w:r>
      <w:r>
        <w:rPr>
          <w:rFonts w:asciiTheme="minorHAnsi" w:hAnsiTheme="minorHAnsi"/>
          <w:sz w:val="20"/>
          <w:szCs w:val="20"/>
        </w:rPr>
        <w:t>9 Zákona Pověřující zadavatel. V případě povinnosti uveřejnit uzavřené smlouvy v registru smluv se postup dle předchozí věty použije obdobně. Pokud se nejeví jako technicky možné, aby Pověřující zadavatel splnil povinnosti dle § 219 Zákona, konzultuje Pově</w:t>
      </w:r>
      <w:r>
        <w:rPr>
          <w:rFonts w:asciiTheme="minorHAnsi" w:hAnsiTheme="minorHAnsi"/>
          <w:sz w:val="20"/>
          <w:szCs w:val="20"/>
        </w:rPr>
        <w:t>řující zadavatel s dostatečným předstihem Centrálního zadavatele.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Pověřující zadavatel se zavazuje informovat Centrálního zadavatele o každém jednotlivém případu, kdy dodavatel poruší své povinnosti či další podmínky stanovené Prováděcí smlouvou, a to bezp</w:t>
      </w:r>
      <w:r>
        <w:rPr>
          <w:rFonts w:asciiTheme="minorHAnsi" w:hAnsiTheme="minorHAnsi"/>
          <w:sz w:val="20"/>
          <w:szCs w:val="20"/>
        </w:rPr>
        <w:t>rostředně po každém takovém případu porušení Prováděcí smlouvy.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případě povinnosti uveřejnění této smlouvy v registru smluv podle zákona č. 340/2015 Sb., o zvláštních podmínkách účinnosti některých smluv, uveřejňování těchto smluv a o registru smluv, zaj</w:t>
      </w:r>
      <w:r>
        <w:rPr>
          <w:rFonts w:asciiTheme="minorHAnsi" w:hAnsiTheme="minorHAnsi"/>
          <w:sz w:val="20"/>
          <w:szCs w:val="20"/>
        </w:rPr>
        <w:t>istí toto uveřejnění Pověřující zadavatel.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Pověřující zadavatel stanoví pro účely komunikace s Centrálním zadavatelem ohledně záležitostí vyplývajících ze Smlouvy, jakož i samotného centralizovaného zadávání jednotlivých Komodit, kontaktní osobu, kterou je</w:t>
      </w:r>
      <w:r>
        <w:rPr>
          <w:rFonts w:asciiTheme="minorHAnsi" w:hAnsiTheme="minorHAnsi"/>
          <w:sz w:val="20"/>
          <w:szCs w:val="20"/>
        </w:rPr>
        <w:t xml:space="preserve">: </w:t>
      </w:r>
    </w:p>
    <w:p w:rsidR="00FB42AF" w:rsidRDefault="000B657B">
      <w:pPr>
        <w:pStyle w:val="Odstavec1"/>
        <w:spacing w:before="120" w:after="120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pan / paní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pStyle w:val="Odstavec1"/>
        <w:spacing w:before="120" w:after="120"/>
        <w:ind w:left="720"/>
        <w:rPr>
          <w:rFonts w:ascii="Calibri" w:hAnsi="Calibri"/>
          <w:sz w:val="20"/>
        </w:rPr>
      </w:pPr>
      <w:r>
        <w:rPr>
          <w:rFonts w:asciiTheme="minorHAnsi" w:hAnsiTheme="minorHAnsi"/>
          <w:sz w:val="20"/>
          <w:szCs w:val="20"/>
        </w:rPr>
        <w:t>e-mail: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pStyle w:val="Odstavec1"/>
        <w:spacing w:before="120" w:after="120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</w:t>
      </w:r>
      <w:r>
        <w:rPr>
          <w:rFonts w:asciiTheme="minorHAnsi" w:hAnsiTheme="minorHAnsi"/>
          <w:sz w:val="20"/>
          <w:szCs w:val="20"/>
        </w:rPr>
        <w:t>el.: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pStyle w:val="Odstavec1"/>
        <w:numPr>
          <w:ilvl w:val="0"/>
          <w:numId w:val="3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Pověřující zadavatel je oprávněn jednostranným písemným oznámením zaslaným Centrálnímu zadavateli změnit kontaktní osobu uvedenou v předchozím odstavci. </w:t>
      </w:r>
    </w:p>
    <w:p w:rsidR="00FB42AF" w:rsidRDefault="00FB42AF">
      <w:pPr>
        <w:pStyle w:val="Odstavec1"/>
        <w:spacing w:before="120" w:after="120"/>
        <w:ind w:left="644"/>
        <w:rPr>
          <w:rFonts w:asciiTheme="minorHAnsi" w:hAnsiTheme="minorHAnsi"/>
          <w:sz w:val="20"/>
          <w:szCs w:val="20"/>
        </w:rPr>
      </w:pP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3.</w:t>
      </w: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Doba trvání Smlouvy</w:t>
      </w:r>
    </w:p>
    <w:p w:rsidR="00FB42AF" w:rsidRDefault="000B657B">
      <w:pPr>
        <w:pStyle w:val="Odstavec1"/>
        <w:numPr>
          <w:ilvl w:val="0"/>
          <w:numId w:val="4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Smlouva se uzavírá n</w:t>
      </w:r>
      <w:r>
        <w:rPr>
          <w:rFonts w:asciiTheme="minorHAnsi" w:hAnsiTheme="minorHAnsi"/>
          <w:sz w:val="20"/>
          <w:szCs w:val="20"/>
        </w:rPr>
        <w:t xml:space="preserve">a dobu neurčitou. </w:t>
      </w:r>
    </w:p>
    <w:p w:rsidR="00FB42AF" w:rsidRDefault="000B657B">
      <w:pPr>
        <w:pStyle w:val="Odstavec1"/>
        <w:numPr>
          <w:ilvl w:val="0"/>
          <w:numId w:val="4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Smlouva je platná ode dne jejího podpisu oběma Smluvními stranami. </w:t>
      </w:r>
    </w:p>
    <w:p w:rsidR="00FB42AF" w:rsidRDefault="000B657B">
      <w:pPr>
        <w:pStyle w:val="Odstavec1"/>
        <w:numPr>
          <w:ilvl w:val="0"/>
          <w:numId w:val="4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Smlouva zaniká: </w:t>
      </w:r>
    </w:p>
    <w:p w:rsidR="00FB42AF" w:rsidRDefault="000B657B">
      <w:pPr>
        <w:pStyle w:val="Odstavec1"/>
        <w:spacing w:before="120" w:after="120"/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dohodou Smluvních stran;</w:t>
      </w:r>
    </w:p>
    <w:p w:rsidR="00FB42AF" w:rsidRDefault="000B657B">
      <w:pPr>
        <w:pStyle w:val="Odstavec1"/>
        <w:spacing w:before="120" w:after="120"/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výpovědí dle následujícího odstavce.</w:t>
      </w:r>
    </w:p>
    <w:p w:rsidR="00FB42AF" w:rsidRDefault="000B657B">
      <w:pPr>
        <w:pStyle w:val="Odstavec1"/>
        <w:numPr>
          <w:ilvl w:val="0"/>
          <w:numId w:val="4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Pověřující zadavatel a Centrální zadavatel jsou oprávněni Smlouvu vypovědět bez udání </w:t>
      </w:r>
      <w:r>
        <w:rPr>
          <w:rFonts w:asciiTheme="minorHAnsi" w:hAnsiTheme="minorHAnsi"/>
          <w:sz w:val="20"/>
          <w:szCs w:val="20"/>
        </w:rPr>
        <w:t>důvodu. Účinky výpovědi nastanou okamžikem jejího doručení druhé smluvní straně, není-li ve výpovědi stanoveno datum pozdější. Výpověď však nemá vliv na již probíhající Zadávací řízení ani již příp. uzavřené Prováděcí smlouvy.</w:t>
      </w:r>
    </w:p>
    <w:p w:rsidR="00FB42AF" w:rsidRDefault="000B657B">
      <w:pPr>
        <w:pStyle w:val="Odstavec1"/>
        <w:numPr>
          <w:ilvl w:val="0"/>
          <w:numId w:val="4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Zánikem Smlouvy není dotčena </w:t>
      </w:r>
      <w:r>
        <w:rPr>
          <w:rFonts w:asciiTheme="minorHAnsi" w:hAnsiTheme="minorHAnsi"/>
          <w:sz w:val="20"/>
          <w:szCs w:val="20"/>
        </w:rPr>
        <w:t>odpovědnost Smluvních stran ani povinnost součinnosti pro příp. komunikaci s orgánem dohledu nebo soudem.</w:t>
      </w:r>
    </w:p>
    <w:p w:rsidR="00FB42AF" w:rsidRDefault="000B657B">
      <w:pPr>
        <w:pStyle w:val="Odstavec1"/>
        <w:numPr>
          <w:ilvl w:val="0"/>
          <w:numId w:val="4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 ukončení Prováděcí smlouvy z důvodu odstoupení kterékoliv strany Prováděcí smlouvy je Pověřující zadavatel povinen informovat Centrálního zadavatele</w:t>
      </w:r>
      <w:r>
        <w:rPr>
          <w:rFonts w:asciiTheme="minorHAnsi" w:hAnsiTheme="minorHAnsi"/>
          <w:sz w:val="20"/>
          <w:szCs w:val="20"/>
        </w:rPr>
        <w:t>, a to ve lhůtě 3 pracovních dnů.</w:t>
      </w:r>
    </w:p>
    <w:p w:rsidR="00FB42AF" w:rsidRDefault="00FB42AF">
      <w:pPr>
        <w:pStyle w:val="Default"/>
        <w:spacing w:before="120" w:after="120"/>
        <w:rPr>
          <w:sz w:val="20"/>
          <w:szCs w:val="20"/>
        </w:rPr>
      </w:pP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Odpovědnost za centralizované zadávání </w:t>
      </w:r>
    </w:p>
    <w:p w:rsidR="00FB42AF" w:rsidRDefault="000B657B">
      <w:pPr>
        <w:pStyle w:val="Odstavec1"/>
        <w:numPr>
          <w:ilvl w:val="0"/>
          <w:numId w:val="5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Odpovědnost za centralizované zadávání se řídí ust. § 9 odst. 2 Zákona. </w:t>
      </w:r>
    </w:p>
    <w:p w:rsidR="00FB42AF" w:rsidRDefault="000B657B">
      <w:pPr>
        <w:pStyle w:val="Odstavec1"/>
        <w:numPr>
          <w:ilvl w:val="0"/>
          <w:numId w:val="5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Centrální zadavatel je povinen ve smyslu ust. § 216 Zákona řádně uchovávat dokumentaci související s pro</w:t>
      </w:r>
      <w:r>
        <w:rPr>
          <w:rFonts w:asciiTheme="minorHAnsi" w:hAnsiTheme="minorHAnsi"/>
          <w:sz w:val="20"/>
          <w:szCs w:val="20"/>
        </w:rPr>
        <w:t xml:space="preserve">vedením centralizovaných zadávacích řízení dle Smlouvy. </w:t>
      </w:r>
    </w:p>
    <w:p w:rsidR="00FB42AF" w:rsidRDefault="00FB42AF">
      <w:pPr>
        <w:pStyle w:val="Default"/>
        <w:spacing w:before="120" w:after="120"/>
        <w:rPr>
          <w:sz w:val="20"/>
          <w:szCs w:val="20"/>
        </w:rPr>
      </w:pPr>
    </w:p>
    <w:p w:rsidR="00FB42AF" w:rsidRDefault="00FB42AF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5. </w:t>
      </w:r>
    </w:p>
    <w:p w:rsidR="00FB42AF" w:rsidRDefault="000B657B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t>Závěrečná ustanovení</w:t>
      </w:r>
    </w:p>
    <w:p w:rsidR="00FB42AF" w:rsidRDefault="000B657B">
      <w:pPr>
        <w:pStyle w:val="Odstavec1"/>
        <w:numPr>
          <w:ilvl w:val="0"/>
          <w:numId w:val="6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Smlouva se řídí právním řádem České republiky. Smluvní strany se zavazují řešit případné spory přednostně dohodou. Nedojde-li k dohodě smluvních stran, bude na návrh kterékoliv smluvní strany řešení sporu předloženo k rozhodnutí věcně a místně příslušnému </w:t>
      </w:r>
      <w:r>
        <w:rPr>
          <w:rFonts w:asciiTheme="minorHAnsi" w:hAnsiTheme="minorHAnsi"/>
          <w:sz w:val="20"/>
          <w:szCs w:val="20"/>
        </w:rPr>
        <w:t xml:space="preserve">soudu. </w:t>
      </w:r>
    </w:p>
    <w:p w:rsidR="00FB42AF" w:rsidRDefault="000B657B">
      <w:pPr>
        <w:pStyle w:val="Odstavec1"/>
        <w:numPr>
          <w:ilvl w:val="0"/>
          <w:numId w:val="6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Smlouvu lze měnit pouze dohodou Smluvních stran, formou písemných, očíslovaných dodatků. </w:t>
      </w:r>
    </w:p>
    <w:p w:rsidR="00FB42AF" w:rsidRDefault="000B657B">
      <w:pPr>
        <w:pStyle w:val="Odstavec1"/>
        <w:numPr>
          <w:ilvl w:val="0"/>
          <w:numId w:val="6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Smlouva se vyhotovuje ve dvou vyhotoveních, z nichž každá Smluvní stran obdrží po jednom. </w:t>
      </w:r>
    </w:p>
    <w:p w:rsidR="00FB42AF" w:rsidRDefault="000B657B">
      <w:pPr>
        <w:pStyle w:val="Odstavec1"/>
        <w:numPr>
          <w:ilvl w:val="0"/>
          <w:numId w:val="6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Smluvní strany prohlašují, že si Smlouvu řádně přečetly, seznámily </w:t>
      </w:r>
      <w:r>
        <w:rPr>
          <w:rFonts w:asciiTheme="minorHAnsi" w:hAnsiTheme="minorHAnsi"/>
          <w:sz w:val="20"/>
          <w:szCs w:val="20"/>
        </w:rPr>
        <w:t>se s jejím obsahem, plně mu rozumí a nežádají žádných úprav či doplnění. Dále prohlašují, že Smlouva vyjadřuje jejich vážně míněnou vůli prostou jakéhokoliv nátlaku či tísně, což stvrzují svými podpisy.</w:t>
      </w:r>
    </w:p>
    <w:p w:rsidR="00FB42AF" w:rsidRDefault="000B657B">
      <w:pPr>
        <w:pStyle w:val="Odstavec1"/>
        <w:numPr>
          <w:ilvl w:val="0"/>
          <w:numId w:val="6"/>
        </w:numPr>
        <w:spacing w:before="120" w:after="120"/>
        <w:ind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Doložka: Uzavření této smlouvy schválila rada Statutá</w:t>
      </w:r>
      <w:r>
        <w:rPr>
          <w:rFonts w:asciiTheme="minorHAnsi" w:hAnsiTheme="minorHAnsi"/>
          <w:sz w:val="20"/>
          <w:szCs w:val="20"/>
        </w:rPr>
        <w:t>rního města Ostrava svým usnesením</w:t>
      </w:r>
      <w:r>
        <w:rPr>
          <w:rFonts w:asciiTheme="minorHAnsi" w:hAnsiTheme="minorHAnsi"/>
          <w:sz w:val="20"/>
          <w:szCs w:val="20"/>
        </w:rPr>
        <w:br/>
        <w:t>č.</w:t>
      </w:r>
      <w:r>
        <w:rPr>
          <w:color w:val="1F497D"/>
        </w:rPr>
        <w:t xml:space="preserve"> </w:t>
      </w:r>
      <w:r>
        <w:rPr>
          <w:rFonts w:asciiTheme="minorHAnsi" w:hAnsiTheme="minorHAnsi"/>
          <w:sz w:val="20"/>
          <w:szCs w:val="20"/>
        </w:rPr>
        <w:t>08874/RM1418/123 ze dne 3. 4. 2018</w:t>
      </w:r>
      <w:r>
        <w:rPr>
          <w:rFonts w:ascii="Calibri" w:hAnsi="Calibri"/>
          <w:sz w:val="20"/>
        </w:rPr>
        <w:t>.</w:t>
      </w:r>
    </w:p>
    <w:p w:rsidR="00FB42AF" w:rsidRDefault="00FB42AF">
      <w:pPr>
        <w:pStyle w:val="Odstavec1"/>
        <w:spacing w:before="120" w:after="120"/>
        <w:ind w:left="720"/>
        <w:rPr>
          <w:rFonts w:asciiTheme="minorHAnsi" w:hAnsiTheme="minorHAnsi"/>
          <w:sz w:val="20"/>
          <w:szCs w:val="20"/>
        </w:rPr>
      </w:pPr>
    </w:p>
    <w:p w:rsidR="00FB42AF" w:rsidRDefault="000B657B">
      <w:pPr>
        <w:pStyle w:val="Default"/>
        <w:spacing w:before="120"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szCs w:val="20"/>
        </w:rPr>
        <w:t xml:space="preserve">V Ostravě dne </w:t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FB42AF">
      <w:pPr>
        <w:pStyle w:val="Default"/>
        <w:spacing w:before="120" w:after="120"/>
        <w:rPr>
          <w:rFonts w:asciiTheme="minorHAnsi" w:hAnsiTheme="minorHAnsi"/>
          <w:sz w:val="20"/>
        </w:rPr>
      </w:pPr>
    </w:p>
    <w:p w:rsidR="00FB42AF" w:rsidRDefault="000B657B">
      <w:pPr>
        <w:pStyle w:val="Default"/>
        <w:spacing w:before="120"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 Centrálního zadavatele: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Za Pověřujícího zadavatele:</w:t>
      </w:r>
    </w:p>
    <w:p w:rsidR="00FB42AF" w:rsidRDefault="00FB42AF">
      <w:pPr>
        <w:pStyle w:val="Default"/>
        <w:spacing w:before="120" w:after="120"/>
        <w:rPr>
          <w:rFonts w:asciiTheme="minorHAnsi" w:hAnsiTheme="minorHAnsi"/>
          <w:sz w:val="20"/>
        </w:rPr>
      </w:pPr>
    </w:p>
    <w:p w:rsidR="00FB42AF" w:rsidRDefault="00FB42AF">
      <w:pPr>
        <w:pStyle w:val="Default"/>
        <w:spacing w:before="120" w:after="120"/>
        <w:rPr>
          <w:rFonts w:asciiTheme="minorHAnsi" w:hAnsiTheme="minorHAnsi"/>
          <w:sz w:val="20"/>
        </w:rPr>
      </w:pPr>
    </w:p>
    <w:p w:rsidR="00FB42AF" w:rsidRDefault="000B657B">
      <w:pPr>
        <w:pStyle w:val="Default"/>
        <w:spacing w:before="120"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……………………………………………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……………………………………………</w:t>
      </w:r>
    </w:p>
    <w:p w:rsidR="00FB42AF" w:rsidRDefault="000B657B">
      <w:pPr>
        <w:spacing w:before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Ing. Tomáš Macura, MBA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0B657B">
      <w:pPr>
        <w:spacing w:before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Primátor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="Calibri" w:hAnsi="Calibri"/>
          <w:sz w:val="20"/>
          <w:highlight w:val="lightGray"/>
        </w:rPr>
        <w:t>………………….</w:t>
      </w:r>
    </w:p>
    <w:p w:rsidR="00FB42AF" w:rsidRDefault="00FB42AF">
      <w:pPr>
        <w:spacing w:before="0" w:line="240" w:lineRule="auto"/>
      </w:pPr>
    </w:p>
    <w:sectPr w:rsidR="00FB42AF">
      <w:footerReference w:type="default" r:id="rId8"/>
      <w:pgSz w:w="11906" w:h="16838"/>
      <w:pgMar w:top="1528" w:right="991" w:bottom="1418" w:left="1276" w:header="0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7B" w:rsidRDefault="000B657B">
      <w:pPr>
        <w:spacing w:before="0" w:after="0" w:line="240" w:lineRule="auto"/>
      </w:pPr>
      <w:r>
        <w:separator/>
      </w:r>
    </w:p>
  </w:endnote>
  <w:endnote w:type="continuationSeparator" w:id="0">
    <w:p w:rsidR="000B657B" w:rsidRDefault="000B65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EE"/>
    <w:family w:val="roman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roman"/>
    <w:pitch w:val="variable"/>
  </w:font>
  <w:font w:name="TimesE"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AF" w:rsidRDefault="000B657B">
    <w:pPr>
      <w:jc w:val="right"/>
    </w:pPr>
    <w:r>
      <w:rPr>
        <w:rFonts w:asciiTheme="minorHAnsi" w:hAnsiTheme="minorHAnsi" w:cstheme="minorHAnsi"/>
        <w:sz w:val="20"/>
      </w:rPr>
      <w:fldChar w:fldCharType="begin"/>
    </w:r>
    <w:r>
      <w:instrText>PAGE</w:instrText>
    </w:r>
    <w:r>
      <w:fldChar w:fldCharType="separate"/>
    </w:r>
    <w:r w:rsidR="00533BC1">
      <w:rPr>
        <w:noProof/>
      </w:rPr>
      <w:t>1</w:t>
    </w:r>
    <w:r>
      <w:fldChar w:fldCharType="end"/>
    </w:r>
    <w:r>
      <w:rPr>
        <w:rFonts w:asciiTheme="minorHAnsi" w:hAnsiTheme="minorHAnsi" w:cstheme="minorHAnsi"/>
        <w:sz w:val="20"/>
      </w:rPr>
      <w:t xml:space="preserve"> / </w:t>
    </w:r>
    <w:r>
      <w:rPr>
        <w:rFonts w:asciiTheme="minorHAnsi" w:hAnsiTheme="minorHAnsi" w:cstheme="minorHAnsi"/>
        <w:sz w:val="20"/>
      </w:rPr>
      <w:fldChar w:fldCharType="begin"/>
    </w:r>
    <w:r>
      <w:instrText>NUMPAGES</w:instrText>
    </w:r>
    <w:r>
      <w:fldChar w:fldCharType="separate"/>
    </w:r>
    <w:r w:rsidR="00533BC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7B" w:rsidRDefault="000B657B">
      <w:pPr>
        <w:spacing w:before="0" w:after="0" w:line="240" w:lineRule="auto"/>
      </w:pPr>
      <w:r>
        <w:separator/>
      </w:r>
    </w:p>
  </w:footnote>
  <w:footnote w:type="continuationSeparator" w:id="0">
    <w:p w:rsidR="000B657B" w:rsidRDefault="000B65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E08"/>
    <w:multiLevelType w:val="multilevel"/>
    <w:tmpl w:val="53DCB6DA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4048"/>
    <w:multiLevelType w:val="multilevel"/>
    <w:tmpl w:val="7640EE16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3C"/>
    <w:multiLevelType w:val="multilevel"/>
    <w:tmpl w:val="68867E2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lowerLetter"/>
      <w:pStyle w:val="Nadpis4"/>
      <w:lvlText w:val="(%2)"/>
      <w:lvlJc w:val="left"/>
      <w:pPr>
        <w:ind w:left="1144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dpis5"/>
      <w:lvlText w:val="%1.%2.%3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3F4A3620"/>
    <w:multiLevelType w:val="multilevel"/>
    <w:tmpl w:val="53EAA9D0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91386"/>
    <w:multiLevelType w:val="multilevel"/>
    <w:tmpl w:val="4CD4B80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608ED"/>
    <w:multiLevelType w:val="multilevel"/>
    <w:tmpl w:val="59D26622"/>
    <w:lvl w:ilvl="0">
      <w:start w:val="1"/>
      <w:numFmt w:val="decimal"/>
      <w:lvlText w:val="2.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AF"/>
    <w:rsid w:val="000B657B"/>
    <w:rsid w:val="00533BC1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5E3DF-92E3-49F9-9FFB-18E3D10E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8DB"/>
    <w:pPr>
      <w:spacing w:before="120" w:after="120" w:line="300" w:lineRule="exact"/>
    </w:pPr>
    <w:rPr>
      <w:rFonts w:ascii="Georgia" w:hAnsi="Georgia"/>
      <w:sz w:val="21"/>
      <w:szCs w:val="20"/>
    </w:rPr>
  </w:style>
  <w:style w:type="paragraph" w:styleId="Nadpis1">
    <w:name w:val="heading 1"/>
    <w:basedOn w:val="Normln"/>
    <w:link w:val="Nadpis1Char"/>
    <w:uiPriority w:val="99"/>
    <w:qFormat/>
    <w:rsid w:val="00894D16"/>
    <w:pPr>
      <w:keepNext/>
      <w:numPr>
        <w:numId w:val="1"/>
      </w:numPr>
      <w:spacing w:before="360"/>
      <w:ind w:left="431" w:hanging="431"/>
      <w:outlineLvl w:val="0"/>
    </w:pPr>
    <w:rPr>
      <w:b/>
      <w:bCs/>
      <w:sz w:val="24"/>
      <w:szCs w:val="28"/>
    </w:rPr>
  </w:style>
  <w:style w:type="paragraph" w:styleId="Nadpis2">
    <w:name w:val="heading 2"/>
    <w:basedOn w:val="Normln"/>
    <w:link w:val="Nadpis2Char"/>
    <w:uiPriority w:val="99"/>
    <w:qFormat/>
    <w:rsid w:val="002E7964"/>
    <w:pPr>
      <w:ind w:left="567" w:hanging="578"/>
      <w:outlineLvl w:val="1"/>
    </w:pPr>
    <w:rPr>
      <w:bCs/>
      <w:iCs/>
      <w:szCs w:val="28"/>
    </w:rPr>
  </w:style>
  <w:style w:type="paragraph" w:styleId="Nadpis3">
    <w:name w:val="heading 3"/>
    <w:basedOn w:val="Normln"/>
    <w:link w:val="Nadpis3Char"/>
    <w:uiPriority w:val="99"/>
    <w:qFormat/>
    <w:rsid w:val="00315742"/>
    <w:pPr>
      <w:keepNext/>
      <w:numPr>
        <w:ilvl w:val="2"/>
        <w:numId w:val="1"/>
      </w:numPr>
      <w:outlineLvl w:val="2"/>
    </w:pPr>
    <w:rPr>
      <w:bCs/>
      <w:szCs w:val="26"/>
    </w:rPr>
  </w:style>
  <w:style w:type="paragraph" w:styleId="Nadpis4">
    <w:name w:val="heading 4"/>
    <w:basedOn w:val="Nadpis2"/>
    <w:link w:val="Nadpis4Char"/>
    <w:uiPriority w:val="99"/>
    <w:qFormat/>
    <w:rsid w:val="002856A7"/>
    <w:pPr>
      <w:numPr>
        <w:ilvl w:val="1"/>
        <w:numId w:val="1"/>
      </w:numPr>
      <w:outlineLvl w:val="3"/>
    </w:pPr>
  </w:style>
  <w:style w:type="paragraph" w:styleId="Nadpis5">
    <w:name w:val="heading 5"/>
    <w:basedOn w:val="Normln"/>
    <w:link w:val="Nadpis5Char"/>
    <w:uiPriority w:val="99"/>
    <w:qFormat/>
    <w:rsid w:val="00DD2C64"/>
    <w:pPr>
      <w:numPr>
        <w:ilvl w:val="4"/>
        <w:numId w:val="1"/>
      </w:numPr>
      <w:spacing w:before="240" w:after="60"/>
      <w:outlineLvl w:val="4"/>
    </w:pPr>
    <w:rPr>
      <w:bCs/>
      <w:iCs/>
      <w:szCs w:val="21"/>
    </w:rPr>
  </w:style>
  <w:style w:type="paragraph" w:styleId="Nadpis6">
    <w:name w:val="heading 6"/>
    <w:basedOn w:val="Normln"/>
    <w:link w:val="Nadpis6Char"/>
    <w:uiPriority w:val="99"/>
    <w:qFormat/>
    <w:rsid w:val="0017478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link w:val="Nadpis7Char"/>
    <w:uiPriority w:val="99"/>
    <w:qFormat/>
    <w:rsid w:val="0017478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link w:val="Nadpis8Char"/>
    <w:uiPriority w:val="99"/>
    <w:qFormat/>
    <w:rsid w:val="0017478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link w:val="Nadpis9Char"/>
    <w:uiPriority w:val="99"/>
    <w:qFormat/>
    <w:rsid w:val="00174784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94D16"/>
    <w:rPr>
      <w:rFonts w:ascii="Georgia" w:hAnsi="Georgia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2E7964"/>
    <w:rPr>
      <w:rFonts w:ascii="Georgia" w:hAnsi="Georgia"/>
      <w:bCs/>
      <w:iCs/>
      <w:sz w:val="21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315742"/>
    <w:rPr>
      <w:rFonts w:ascii="Georgia" w:hAnsi="Georgia"/>
      <w:bCs/>
      <w:sz w:val="21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2856A7"/>
    <w:rPr>
      <w:rFonts w:ascii="Georgia" w:hAnsi="Georgia"/>
      <w:bCs/>
      <w:iCs/>
      <w:sz w:val="21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qFormat/>
    <w:locked/>
    <w:rsid w:val="00DD2C64"/>
    <w:rPr>
      <w:rFonts w:ascii="Georgia" w:hAnsi="Georgia"/>
      <w:bCs/>
      <w:iCs/>
      <w:sz w:val="21"/>
      <w:szCs w:val="21"/>
    </w:rPr>
  </w:style>
  <w:style w:type="character" w:customStyle="1" w:styleId="Nadpis6Char">
    <w:name w:val="Nadpis 6 Char"/>
    <w:basedOn w:val="Standardnpsmoodstavce"/>
    <w:link w:val="Nadpis6"/>
    <w:uiPriority w:val="99"/>
    <w:qFormat/>
    <w:locked/>
    <w:rsid w:val="00174784"/>
    <w:rPr>
      <w:rFonts w:ascii="Calibri" w:hAnsi="Calibri"/>
      <w:b/>
      <w:bCs/>
      <w:sz w:val="21"/>
    </w:rPr>
  </w:style>
  <w:style w:type="character" w:customStyle="1" w:styleId="Nadpis7Char">
    <w:name w:val="Nadpis 7 Char"/>
    <w:basedOn w:val="Standardnpsmoodstavce"/>
    <w:link w:val="Nadpis7"/>
    <w:uiPriority w:val="99"/>
    <w:qFormat/>
    <w:locked/>
    <w:rsid w:val="00174784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qFormat/>
    <w:locked/>
    <w:rsid w:val="00174784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qFormat/>
    <w:locked/>
    <w:rsid w:val="00174784"/>
    <w:rPr>
      <w:rFonts w:ascii="Cambria" w:hAnsi="Cambria"/>
      <w:sz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227812"/>
    <w:rPr>
      <w:rFonts w:ascii="Georgia" w:hAnsi="Georgia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415EA2"/>
    <w:rPr>
      <w:rFonts w:cs="Times New Roman"/>
      <w:sz w:val="22"/>
    </w:rPr>
  </w:style>
  <w:style w:type="character" w:styleId="slostrnky">
    <w:name w:val="page number"/>
    <w:basedOn w:val="Standardnpsmoodstavce"/>
    <w:uiPriority w:val="99"/>
    <w:qFormat/>
    <w:rsid w:val="00174784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227812"/>
    <w:rPr>
      <w:rFonts w:ascii="Georgia" w:hAnsi="Georgia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227812"/>
    <w:rPr>
      <w:rFonts w:ascii="Georgia" w:hAnsi="Georgia" w:cs="Times New Roman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227812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qFormat/>
    <w:rsid w:val="003378DB"/>
    <w:rPr>
      <w:rFonts w:ascii="Georgia" w:hAnsi="Georgia" w:cs="Times New Roman"/>
      <w:sz w:val="21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227812"/>
    <w:rPr>
      <w:rFonts w:cs="Times New Roman"/>
      <w:sz w:val="2"/>
    </w:rPr>
  </w:style>
  <w:style w:type="character" w:styleId="Odkaznakoment">
    <w:name w:val="annotation reference"/>
    <w:basedOn w:val="Standardnpsmoodstavce"/>
    <w:qFormat/>
    <w:rsid w:val="00174784"/>
    <w:rPr>
      <w:rFonts w:cs="Times New Roman"/>
      <w:sz w:val="16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174784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locked/>
    <w:rsid w:val="00174784"/>
    <w:rPr>
      <w:rFonts w:cs="Times New Roman"/>
      <w:b/>
    </w:rPr>
  </w:style>
  <w:style w:type="character" w:styleId="Siln">
    <w:name w:val="Strong"/>
    <w:basedOn w:val="Standardnpsmoodstavce"/>
    <w:uiPriority w:val="99"/>
    <w:qFormat/>
    <w:rsid w:val="00151EB1"/>
    <w:rPr>
      <w:rFonts w:cs="Times New Roman"/>
      <w:b/>
    </w:rPr>
  </w:style>
  <w:style w:type="character" w:customStyle="1" w:styleId="spiszn">
    <w:name w:val="spiszn"/>
    <w:uiPriority w:val="99"/>
    <w:qFormat/>
    <w:rsid w:val="00151EB1"/>
  </w:style>
  <w:style w:type="character" w:customStyle="1" w:styleId="CharacterStyle1">
    <w:name w:val="Character Style 1"/>
    <w:uiPriority w:val="99"/>
    <w:qFormat/>
    <w:rsid w:val="003B7894"/>
    <w:rPr>
      <w:rFonts w:ascii="Arial" w:hAnsi="Arial"/>
      <w:sz w:val="20"/>
    </w:rPr>
  </w:style>
  <w:style w:type="character" w:customStyle="1" w:styleId="3tiurovenChar">
    <w:name w:val="3ti uroven Char"/>
    <w:link w:val="3tiuroven"/>
    <w:uiPriority w:val="99"/>
    <w:qFormat/>
    <w:locked/>
    <w:rsid w:val="00FF0300"/>
    <w:rPr>
      <w:rFonts w:ascii="Georgia" w:hAnsi="Georgia"/>
      <w:color w:val="000000"/>
      <w:szCs w:val="20"/>
      <w:lang w:val="en-US" w:eastAsia="ja-JP"/>
    </w:rPr>
  </w:style>
  <w:style w:type="character" w:customStyle="1" w:styleId="Internetovodkaz">
    <w:name w:val="Internetový odkaz"/>
    <w:basedOn w:val="Standardnpsmoodstavce"/>
    <w:uiPriority w:val="99"/>
    <w:rsid w:val="009B368B"/>
    <w:rPr>
      <w:rFonts w:cs="Times New Roman"/>
      <w:color w:val="0000FF"/>
      <w:u w:val="single"/>
    </w:rPr>
  </w:style>
  <w:style w:type="character" w:customStyle="1" w:styleId="1urovenChar">
    <w:name w:val="1 uroven Char"/>
    <w:link w:val="1uroven"/>
    <w:uiPriority w:val="99"/>
    <w:qFormat/>
    <w:locked/>
    <w:rsid w:val="002A38A4"/>
    <w:rPr>
      <w:b/>
      <w:caps/>
      <w:kern w:val="2"/>
      <w:sz w:val="22"/>
      <w:lang w:eastAsia="en-US"/>
    </w:rPr>
  </w:style>
  <w:style w:type="character" w:customStyle="1" w:styleId="DeltaViewInsertion">
    <w:name w:val="DeltaView Insertion"/>
    <w:uiPriority w:val="99"/>
    <w:qFormat/>
    <w:rsid w:val="002A38A4"/>
    <w:rPr>
      <w:color w:val="0000FF"/>
      <w:spacing w:val="0"/>
      <w:u w:val="double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FF0300"/>
    <w:rPr>
      <w:rFonts w:ascii="Georgia" w:hAnsi="Georgia"/>
      <w:bCs/>
      <w:sz w:val="21"/>
      <w:szCs w:val="2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sid w:val="00D44009"/>
    <w:rPr>
      <w:rFonts w:ascii="Georgia" w:hAnsi="Georgia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qFormat/>
    <w:rsid w:val="00D44009"/>
    <w:rPr>
      <w:rFonts w:cs="Times New Roman"/>
      <w:vertAlign w:val="superscript"/>
    </w:rPr>
  </w:style>
  <w:style w:type="character" w:customStyle="1" w:styleId="ProsttextChar">
    <w:name w:val="Prostý text Char"/>
    <w:basedOn w:val="Standardnpsmoodstavce"/>
    <w:link w:val="Prosttext"/>
    <w:uiPriority w:val="99"/>
    <w:qFormat/>
    <w:locked/>
    <w:rsid w:val="0091451B"/>
    <w:rPr>
      <w:rFonts w:ascii="Courier" w:hAnsi="Courier" w:cs="Times New Roman"/>
      <w:lang w:eastAsia="cs-CZ"/>
    </w:rPr>
  </w:style>
  <w:style w:type="character" w:customStyle="1" w:styleId="Nadpis1Char0">
    <w:name w:val="Nadpis1 Char"/>
    <w:basedOn w:val="Standardnpsmoodstavce"/>
    <w:qFormat/>
    <w:rsid w:val="00677D3E"/>
    <w:rPr>
      <w:rFonts w:ascii="Arial" w:eastAsia="Batang" w:hAnsi="Arial" w:cs="Arial"/>
      <w:b/>
      <w:caps/>
    </w:rPr>
  </w:style>
  <w:style w:type="character" w:customStyle="1" w:styleId="Odstavec1Char">
    <w:name w:val="Odstavec1 Char"/>
    <w:basedOn w:val="Standardnpsmoodstavce"/>
    <w:link w:val="Odstavec1"/>
    <w:qFormat/>
    <w:rsid w:val="00677D3E"/>
    <w:rPr>
      <w:rFonts w:ascii="Arial" w:hAnsi="Arial" w:cs="Arial"/>
    </w:rPr>
  </w:style>
  <w:style w:type="character" w:customStyle="1" w:styleId="ListLabel1">
    <w:name w:val="ListLabel 1"/>
    <w:qFormat/>
    <w:rPr>
      <w:rFonts w:cs="Times New Roman"/>
      <w:b/>
      <w:i w:val="0"/>
      <w:sz w:val="22"/>
      <w:u w:val="none"/>
    </w:rPr>
  </w:style>
  <w:style w:type="character" w:customStyle="1" w:styleId="ListLabel2">
    <w:name w:val="ListLabel 2"/>
    <w:qFormat/>
    <w:rPr>
      <w:rFonts w:cs="Times New Roman"/>
      <w:b/>
      <w:i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1"/>
      <w:u w:val="none"/>
      <w:effect w:val="none"/>
      <w:vertAlign w:val="baseline"/>
    </w:rPr>
  </w:style>
  <w:style w:type="character" w:customStyle="1" w:styleId="ListLabel4">
    <w:name w:val="ListLabel 4"/>
    <w:qFormat/>
    <w:rPr>
      <w:rFonts w:cs="Times New Roman"/>
      <w:b w:val="0"/>
      <w:i w:val="0"/>
      <w:sz w:val="22"/>
    </w:rPr>
  </w:style>
  <w:style w:type="character" w:customStyle="1" w:styleId="ListLabel5">
    <w:name w:val="ListLabel 5"/>
    <w:qFormat/>
    <w:rPr>
      <w:rFonts w:cs="Times New Roman"/>
      <w:b/>
      <w:i w:val="0"/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  <w:b/>
    </w:rPr>
  </w:style>
  <w:style w:type="character" w:customStyle="1" w:styleId="ListLabel12">
    <w:name w:val="ListLabel 12"/>
    <w:qFormat/>
    <w:rPr>
      <w:rFonts w:cs="Times New Roman"/>
      <w:b/>
    </w:rPr>
  </w:style>
  <w:style w:type="character" w:customStyle="1" w:styleId="ListLabel13">
    <w:name w:val="ListLabel 13"/>
    <w:qFormat/>
    <w:rPr>
      <w:rFonts w:cs="Times New Roman"/>
      <w:b/>
    </w:rPr>
  </w:style>
  <w:style w:type="character" w:customStyle="1" w:styleId="ListLabel14">
    <w:name w:val="ListLabel 14"/>
    <w:qFormat/>
    <w:rPr>
      <w:rFonts w:cs="Times New Roman"/>
      <w:b/>
    </w:rPr>
  </w:style>
  <w:style w:type="character" w:customStyle="1" w:styleId="ListLabel15">
    <w:name w:val="ListLabel 15"/>
    <w:qFormat/>
    <w:rPr>
      <w:rFonts w:cs="Times New Roman"/>
      <w:b/>
    </w:rPr>
  </w:style>
  <w:style w:type="character" w:customStyle="1" w:styleId="ListLabel16">
    <w:name w:val="ListLabel 16"/>
    <w:qFormat/>
    <w:rPr>
      <w:rFonts w:cs="Times New Roman"/>
      <w:b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cs="Times New Roman"/>
      <w:b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b w:val="0"/>
      <w:i w:val="0"/>
      <w:color w:val="00000A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1"/>
      <w:u w:val="none"/>
      <w:effect w:val="none"/>
      <w:vertAlign w:val="baseline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Arial"/>
      <w:b/>
      <w:sz w:val="20"/>
      <w:szCs w:val="20"/>
    </w:rPr>
  </w:style>
  <w:style w:type="character" w:customStyle="1" w:styleId="ListLabel47">
    <w:name w:val="ListLabel 47"/>
    <w:qFormat/>
    <w:rPr>
      <w:rFonts w:cs="Arial"/>
      <w:b w:val="0"/>
      <w:sz w:val="20"/>
      <w:szCs w:val="20"/>
    </w:rPr>
  </w:style>
  <w:style w:type="character" w:customStyle="1" w:styleId="ListLabel48">
    <w:name w:val="ListLabel 48"/>
    <w:qFormat/>
    <w:rPr>
      <w:rFonts w:cs="Arial"/>
      <w:b w:val="0"/>
      <w:sz w:val="20"/>
      <w:szCs w:val="20"/>
    </w:rPr>
  </w:style>
  <w:style w:type="character" w:customStyle="1" w:styleId="ListLabel49">
    <w:name w:val="ListLabel 49"/>
    <w:qFormat/>
    <w:rPr>
      <w:rFonts w:cs="Arial"/>
      <w:b w:val="0"/>
      <w:sz w:val="20"/>
      <w:szCs w:val="20"/>
    </w:rPr>
  </w:style>
  <w:style w:type="character" w:customStyle="1" w:styleId="ListLabel50">
    <w:name w:val="ListLabel 50"/>
    <w:qFormat/>
    <w:rPr>
      <w:rFonts w:cs="Arial"/>
      <w:b w:val="0"/>
      <w:sz w:val="20"/>
      <w:szCs w:val="20"/>
    </w:rPr>
  </w:style>
  <w:style w:type="character" w:customStyle="1" w:styleId="ListLabel51">
    <w:name w:val="ListLabel 51"/>
    <w:qFormat/>
    <w:rPr>
      <w:rFonts w:cs="Arial"/>
      <w:b w:val="0"/>
      <w:sz w:val="20"/>
      <w:szCs w:val="20"/>
    </w:rPr>
  </w:style>
  <w:style w:type="character" w:customStyle="1" w:styleId="ListLabel52">
    <w:name w:val="ListLabel 52"/>
    <w:qFormat/>
    <w:rPr>
      <w:rFonts w:cs="Arial"/>
      <w:b w:val="0"/>
      <w:sz w:val="20"/>
      <w:szCs w:val="20"/>
    </w:rPr>
  </w:style>
  <w:style w:type="character" w:customStyle="1" w:styleId="ListLabel53">
    <w:name w:val="ListLabel 53"/>
    <w:qFormat/>
    <w:rPr>
      <w:rFonts w:cs="Arial"/>
      <w:b w:val="0"/>
      <w:sz w:val="20"/>
      <w:szCs w:val="20"/>
    </w:rPr>
  </w:style>
  <w:style w:type="character" w:customStyle="1" w:styleId="ListLabel54">
    <w:name w:val="ListLabel 54"/>
    <w:qFormat/>
    <w:rPr>
      <w:rFonts w:cs="Arial"/>
      <w:b w:val="0"/>
      <w:sz w:val="20"/>
      <w:szCs w:val="20"/>
    </w:rPr>
  </w:style>
  <w:style w:type="character" w:customStyle="1" w:styleId="ListLabel55">
    <w:name w:val="ListLabel 55"/>
    <w:qFormat/>
    <w:rPr>
      <w:rFonts w:eastAsia="Times New Roman"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Arial"/>
      <w:b w:val="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74784"/>
    <w:rPr>
      <w:b/>
      <w:caps/>
      <w:lang w:val="en-GB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174784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174784"/>
    <w:pPr>
      <w:tabs>
        <w:tab w:val="center" w:pos="4153"/>
        <w:tab w:val="right" w:pos="8306"/>
      </w:tabs>
    </w:pPr>
    <w:rPr>
      <w:rFonts w:ascii="Times New Roman" w:hAnsi="Times New Roman"/>
      <w:sz w:val="22"/>
    </w:rPr>
  </w:style>
  <w:style w:type="paragraph" w:customStyle="1" w:styleId="Zkladntext1">
    <w:name w:val="Základní text1"/>
    <w:basedOn w:val="Normln"/>
    <w:uiPriority w:val="99"/>
    <w:qFormat/>
    <w:rsid w:val="00174784"/>
    <w:pPr>
      <w:spacing w:line="240" w:lineRule="atLeast"/>
    </w:pPr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74784"/>
    <w:pPr>
      <w:ind w:left="283"/>
    </w:pPr>
  </w:style>
  <w:style w:type="paragraph" w:styleId="Textbubliny">
    <w:name w:val="Balloon Text"/>
    <w:basedOn w:val="Normln"/>
    <w:link w:val="TextbublinyChar"/>
    <w:uiPriority w:val="99"/>
    <w:semiHidden/>
    <w:qFormat/>
    <w:rsid w:val="0017478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174784"/>
    <w:pPr>
      <w:shd w:val="clear" w:color="auto" w:fill="000080"/>
    </w:pPr>
    <w:rPr>
      <w:rFonts w:ascii="Tahoma" w:hAnsi="Tahoma" w:cs="Tahoma"/>
    </w:rPr>
  </w:style>
  <w:style w:type="paragraph" w:styleId="Textkomente">
    <w:name w:val="annotation text"/>
    <w:basedOn w:val="Normln"/>
    <w:link w:val="TextkomenteChar"/>
    <w:qFormat/>
    <w:rsid w:val="00174784"/>
  </w:style>
  <w:style w:type="paragraph" w:styleId="Pedmtkomente">
    <w:name w:val="annotation subject"/>
    <w:basedOn w:val="Textkomente"/>
    <w:link w:val="PedmtkomenteChar"/>
    <w:uiPriority w:val="99"/>
    <w:qFormat/>
    <w:rsid w:val="00174784"/>
    <w:rPr>
      <w:rFonts w:ascii="Times New Roman" w:hAnsi="Times New Roman"/>
      <w:b/>
      <w:bCs/>
      <w:sz w:val="20"/>
    </w:rPr>
  </w:style>
  <w:style w:type="paragraph" w:customStyle="1" w:styleId="BodySingle">
    <w:name w:val="Body Single"/>
    <w:basedOn w:val="Normln"/>
    <w:uiPriority w:val="99"/>
    <w:qFormat/>
    <w:rsid w:val="00230F58"/>
    <w:pPr>
      <w:spacing w:before="0" w:after="0"/>
    </w:pPr>
    <w:rPr>
      <w:rFonts w:ascii="TimesE" w:hAnsi="TimesE"/>
      <w:sz w:val="24"/>
      <w:lang w:val="en-US" w:eastAsia="en-US"/>
    </w:rPr>
  </w:style>
  <w:style w:type="paragraph" w:styleId="Odstavecseseznamem">
    <w:name w:val="List Paragraph"/>
    <w:basedOn w:val="Normln"/>
    <w:uiPriority w:val="99"/>
    <w:qFormat/>
    <w:rsid w:val="003378DB"/>
    <w:pPr>
      <w:spacing w:before="0" w:after="200"/>
      <w:ind w:left="720"/>
      <w:contextualSpacing/>
    </w:pPr>
    <w:rPr>
      <w:szCs w:val="22"/>
      <w:lang w:eastAsia="en-US"/>
    </w:rPr>
  </w:style>
  <w:style w:type="paragraph" w:customStyle="1" w:styleId="ListParagraph1">
    <w:name w:val="List Paragraph1"/>
    <w:basedOn w:val="Normln"/>
    <w:uiPriority w:val="99"/>
    <w:qFormat/>
    <w:rsid w:val="001223DD"/>
    <w:pPr>
      <w:spacing w:before="0" w:after="0"/>
      <w:ind w:left="720"/>
    </w:pPr>
    <w:rPr>
      <w:rFonts w:eastAsia="Batang"/>
      <w:sz w:val="24"/>
      <w:lang w:eastAsia="ko-KR"/>
    </w:rPr>
  </w:style>
  <w:style w:type="paragraph" w:customStyle="1" w:styleId="3tiuroven">
    <w:name w:val="3ti uroven"/>
    <w:basedOn w:val="Nadpis3"/>
    <w:link w:val="3tiurovenChar"/>
    <w:autoRedefine/>
    <w:uiPriority w:val="99"/>
    <w:qFormat/>
    <w:rsid w:val="00FF0300"/>
    <w:pPr>
      <w:keepNext w:val="0"/>
      <w:widowControl w:val="0"/>
      <w:numPr>
        <w:ilvl w:val="0"/>
        <w:numId w:val="0"/>
      </w:numPr>
      <w:spacing w:before="0"/>
      <w:ind w:left="1389" w:hanging="822"/>
    </w:pPr>
    <w:rPr>
      <w:bCs w:val="0"/>
      <w:color w:val="000000"/>
      <w:sz w:val="22"/>
      <w:szCs w:val="20"/>
      <w:lang w:val="en-US" w:eastAsia="ja-JP"/>
    </w:rPr>
  </w:style>
  <w:style w:type="paragraph" w:customStyle="1" w:styleId="Nadpis2-norm">
    <w:name w:val="Nadpis 2-norm"/>
    <w:basedOn w:val="Normln"/>
    <w:uiPriority w:val="99"/>
    <w:qFormat/>
    <w:rsid w:val="009B368B"/>
    <w:pPr>
      <w:tabs>
        <w:tab w:val="left" w:pos="1418"/>
      </w:tabs>
      <w:ind w:left="709"/>
    </w:pPr>
    <w:rPr>
      <w:lang w:eastAsia="en-US"/>
    </w:rPr>
  </w:style>
  <w:style w:type="paragraph" w:customStyle="1" w:styleId="Normal2">
    <w:name w:val="Normal 2"/>
    <w:basedOn w:val="Normln"/>
    <w:uiPriority w:val="99"/>
    <w:qFormat/>
    <w:rsid w:val="002A38A4"/>
    <w:pPr>
      <w:ind w:left="709"/>
    </w:pPr>
    <w:rPr>
      <w:lang w:eastAsia="en-US"/>
    </w:rPr>
  </w:style>
  <w:style w:type="paragraph" w:customStyle="1" w:styleId="1uroven">
    <w:name w:val="1 uroven"/>
    <w:basedOn w:val="Nadpis1"/>
    <w:link w:val="1urovenChar"/>
    <w:autoRedefine/>
    <w:uiPriority w:val="99"/>
    <w:qFormat/>
    <w:rsid w:val="002A38A4"/>
    <w:pPr>
      <w:numPr>
        <w:numId w:val="0"/>
      </w:numPr>
      <w:tabs>
        <w:tab w:val="left" w:pos="709"/>
      </w:tabs>
      <w:spacing w:before="240" w:after="240"/>
      <w:ind w:left="706" w:hanging="706"/>
    </w:pPr>
    <w:rPr>
      <w:rFonts w:ascii="Times New Roman" w:hAnsi="Times New Roman"/>
      <w:bCs w:val="0"/>
      <w:caps/>
      <w:kern w:val="2"/>
      <w:sz w:val="22"/>
      <w:szCs w:val="20"/>
      <w:lang w:eastAsia="en-US"/>
    </w:rPr>
  </w:style>
  <w:style w:type="paragraph" w:styleId="Podnadpis">
    <w:name w:val="Subtitle"/>
    <w:basedOn w:val="Nadpis3"/>
    <w:link w:val="PodnadpisChar"/>
    <w:uiPriority w:val="99"/>
    <w:qFormat/>
    <w:rsid w:val="00FF0300"/>
    <w:pPr>
      <w:numPr>
        <w:ilvl w:val="0"/>
        <w:numId w:val="0"/>
      </w:numPr>
    </w:pPr>
  </w:style>
  <w:style w:type="paragraph" w:styleId="Revize">
    <w:name w:val="Revision"/>
    <w:uiPriority w:val="99"/>
    <w:semiHidden/>
    <w:qFormat/>
    <w:rsid w:val="00FF0300"/>
    <w:rPr>
      <w:sz w:val="21"/>
      <w:szCs w:val="20"/>
    </w:rPr>
  </w:style>
  <w:style w:type="paragraph" w:customStyle="1" w:styleId="Prohlen">
    <w:name w:val="Prohlášení"/>
    <w:basedOn w:val="Normln"/>
    <w:uiPriority w:val="99"/>
    <w:qFormat/>
    <w:rsid w:val="00381952"/>
    <w:pPr>
      <w:widowControl w:val="0"/>
      <w:spacing w:before="0" w:after="0" w:line="280" w:lineRule="atLeast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mluvnstrana">
    <w:name w:val="Smluvní strana"/>
    <w:basedOn w:val="Normln"/>
    <w:uiPriority w:val="99"/>
    <w:qFormat/>
    <w:rsid w:val="006B3E72"/>
    <w:pPr>
      <w:widowControl w:val="0"/>
      <w:spacing w:before="0" w:after="0" w:line="280" w:lineRule="atLeast"/>
      <w:jc w:val="both"/>
    </w:pPr>
    <w:rPr>
      <w:rFonts w:ascii="Times New Roman" w:hAnsi="Times New Roman"/>
      <w:b/>
      <w:sz w:val="28"/>
      <w:lang w:eastAsia="en-US"/>
    </w:rPr>
  </w:style>
  <w:style w:type="paragraph" w:customStyle="1" w:styleId="Odstavec">
    <w:name w:val="Odstavec"/>
    <w:basedOn w:val="Normln"/>
    <w:uiPriority w:val="99"/>
    <w:qFormat/>
    <w:rsid w:val="008E30C5"/>
    <w:pPr>
      <w:tabs>
        <w:tab w:val="left" w:pos="709"/>
      </w:tabs>
      <w:spacing w:before="60" w:after="0" w:line="240" w:lineRule="auto"/>
      <w:jc w:val="both"/>
    </w:pPr>
    <w:rPr>
      <w:rFonts w:ascii="Century Gothic" w:hAnsi="Century Gothic"/>
      <w:sz w:val="22"/>
      <w:szCs w:val="22"/>
    </w:rPr>
  </w:style>
  <w:style w:type="paragraph" w:customStyle="1" w:styleId="Nadpisodstavce">
    <w:name w:val="Nadpis odstavce"/>
    <w:basedOn w:val="Nadpis4"/>
    <w:uiPriority w:val="99"/>
    <w:qFormat/>
    <w:rsid w:val="008E30C5"/>
    <w:pPr>
      <w:numPr>
        <w:ilvl w:val="0"/>
        <w:numId w:val="0"/>
      </w:numPr>
      <w:spacing w:line="240" w:lineRule="auto"/>
      <w:jc w:val="center"/>
    </w:pPr>
    <w:rPr>
      <w:rFonts w:ascii="Century Gothic" w:hAnsi="Century Gothic"/>
      <w:b/>
      <w:bCs w:val="0"/>
      <w:sz w:val="22"/>
      <w:szCs w:val="24"/>
    </w:rPr>
  </w:style>
  <w:style w:type="paragraph" w:customStyle="1" w:styleId="Zklad1">
    <w:name w:val="Základ 1"/>
    <w:basedOn w:val="Normln"/>
    <w:uiPriority w:val="99"/>
    <w:qFormat/>
    <w:rsid w:val="00B53C94"/>
    <w:pPr>
      <w:widowControl w:val="0"/>
      <w:suppressAutoHyphens/>
      <w:spacing w:before="240" w:line="240" w:lineRule="auto"/>
      <w:textAlignment w:val="baseline"/>
    </w:pPr>
    <w:rPr>
      <w:rFonts w:ascii="Times New Roman" w:hAnsi="Times New Roman" w:cs="Tahoma"/>
      <w:b/>
      <w:bCs/>
      <w:smallCaps/>
      <w:sz w:val="22"/>
      <w:szCs w:val="24"/>
      <w:lang w:eastAsia="zh-CN"/>
    </w:rPr>
  </w:style>
  <w:style w:type="paragraph" w:customStyle="1" w:styleId="Zklad2">
    <w:name w:val="Základ 2"/>
    <w:basedOn w:val="Normln"/>
    <w:uiPriority w:val="99"/>
    <w:qFormat/>
    <w:rsid w:val="00B53C94"/>
    <w:pPr>
      <w:widowControl w:val="0"/>
      <w:suppressAutoHyphens/>
      <w:spacing w:before="0" w:line="240" w:lineRule="auto"/>
      <w:ind w:left="567" w:hanging="567"/>
      <w:textAlignment w:val="baseline"/>
    </w:pPr>
    <w:rPr>
      <w:rFonts w:ascii="Times New Roman" w:hAnsi="Times New Roman" w:cs="Tahoma"/>
      <w:bCs/>
      <w:sz w:val="22"/>
      <w:szCs w:val="24"/>
      <w:lang w:eastAsia="zh-CN"/>
    </w:rPr>
  </w:style>
  <w:style w:type="paragraph" w:customStyle="1" w:styleId="Zklad3">
    <w:name w:val="Základ 3"/>
    <w:basedOn w:val="Normln"/>
    <w:uiPriority w:val="99"/>
    <w:qFormat/>
    <w:rsid w:val="00B53C94"/>
    <w:pPr>
      <w:widowControl w:val="0"/>
      <w:suppressAutoHyphens/>
      <w:spacing w:before="0" w:line="240" w:lineRule="auto"/>
      <w:ind w:left="567" w:hanging="567"/>
      <w:textAlignment w:val="baseline"/>
    </w:pPr>
    <w:rPr>
      <w:rFonts w:ascii="Times New Roman" w:hAnsi="Times New Roman" w:cs="Tahoma"/>
      <w:bCs/>
      <w:sz w:val="22"/>
      <w:szCs w:val="24"/>
      <w:lang w:eastAsia="zh-CN"/>
    </w:rPr>
  </w:style>
  <w:style w:type="paragraph" w:customStyle="1" w:styleId="Smlouva-slo">
    <w:name w:val="Smlouva-číslo"/>
    <w:basedOn w:val="Normln"/>
    <w:uiPriority w:val="99"/>
    <w:qFormat/>
    <w:rsid w:val="00164E91"/>
    <w:pPr>
      <w:widowControl w:val="0"/>
      <w:spacing w:after="0" w:line="240" w:lineRule="atLeast"/>
      <w:jc w:val="both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qFormat/>
    <w:rsid w:val="00D44009"/>
    <w:pPr>
      <w:spacing w:before="0" w:after="0" w:line="240" w:lineRule="auto"/>
    </w:pPr>
    <w:rPr>
      <w:sz w:val="20"/>
    </w:rPr>
  </w:style>
  <w:style w:type="paragraph" w:styleId="Prosttext">
    <w:name w:val="Plain Text"/>
    <w:basedOn w:val="Normln"/>
    <w:link w:val="ProsttextChar"/>
    <w:uiPriority w:val="99"/>
    <w:qFormat/>
    <w:rsid w:val="0091451B"/>
    <w:pPr>
      <w:widowControl w:val="0"/>
      <w:spacing w:before="0" w:after="0" w:line="240" w:lineRule="auto"/>
    </w:pPr>
    <w:rPr>
      <w:rFonts w:ascii="Courier" w:hAnsi="Courier"/>
      <w:sz w:val="20"/>
    </w:rPr>
  </w:style>
  <w:style w:type="paragraph" w:styleId="Obsah1">
    <w:name w:val="toc 1"/>
    <w:basedOn w:val="Normln"/>
    <w:uiPriority w:val="39"/>
    <w:locked/>
    <w:rsid w:val="009708F2"/>
    <w:pPr>
      <w:suppressAutoHyphens/>
      <w:spacing w:before="0"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dpis10">
    <w:name w:val="Nadpis1"/>
    <w:basedOn w:val="Odstavecseseznamem"/>
    <w:qFormat/>
    <w:rsid w:val="00677D3E"/>
    <w:pPr>
      <w:spacing w:before="240" w:after="240" w:line="240" w:lineRule="auto"/>
    </w:pPr>
    <w:rPr>
      <w:rFonts w:ascii="Arial" w:eastAsia="Batang" w:hAnsi="Arial" w:cs="Arial"/>
      <w:b/>
      <w:caps/>
      <w:sz w:val="22"/>
      <w:lang w:eastAsia="cs-CZ"/>
    </w:rPr>
  </w:style>
  <w:style w:type="paragraph" w:customStyle="1" w:styleId="Odstavec1">
    <w:name w:val="Odstavec1"/>
    <w:basedOn w:val="Normln"/>
    <w:link w:val="Odstavec1Char"/>
    <w:qFormat/>
    <w:rsid w:val="00677D3E"/>
    <w:pPr>
      <w:spacing w:before="0" w:after="24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qFormat/>
    <w:rsid w:val="00677D3E"/>
    <w:rPr>
      <w:rFonts w:ascii="Century Gothic" w:hAnsi="Century Gothic" w:cs="Century Gothic"/>
      <w:color w:val="000000"/>
      <w:sz w:val="24"/>
      <w:szCs w:val="24"/>
    </w:rPr>
  </w:style>
  <w:style w:type="paragraph" w:customStyle="1" w:styleId="CZNzevlnku">
    <w:name w:val="CZ Název článku"/>
    <w:basedOn w:val="Normln"/>
    <w:qFormat/>
    <w:rsid w:val="00677D3E"/>
    <w:pPr>
      <w:spacing w:before="0" w:after="240" w:line="288" w:lineRule="auto"/>
      <w:jc w:val="center"/>
    </w:pPr>
    <w:rPr>
      <w:rFonts w:ascii="Century Gothic" w:eastAsia="Calibri" w:hAnsi="Century Gothic"/>
      <w:b/>
      <w:sz w:val="20"/>
      <w:szCs w:val="24"/>
    </w:rPr>
  </w:style>
  <w:style w:type="table" w:styleId="Mkatabulky">
    <w:name w:val="Table Grid"/>
    <w:basedOn w:val="Normlntabulka"/>
    <w:uiPriority w:val="99"/>
    <w:rsid w:val="0017478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04BA7-0995-4A7F-A090-FBD1D8C8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mikulova@zskosmonautu13.cz</dc:creator>
  <dc:description/>
  <cp:lastModifiedBy>mikulova@zskosmonautu13.cz</cp:lastModifiedBy>
  <cp:revision>2</cp:revision>
  <dcterms:created xsi:type="dcterms:W3CDTF">2018-06-26T12:57:00Z</dcterms:created>
  <dcterms:modified xsi:type="dcterms:W3CDTF">2018-06-26T12:57:00Z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