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1DBE84" w14:textId="77777777" w:rsidR="00BC12D2" w:rsidRDefault="009042E4">
      <w:pPr>
        <w:widowControl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Smlouva o poskytování </w:t>
      </w:r>
    </w:p>
    <w:p w14:paraId="2922CD7C" w14:textId="77777777" w:rsidR="00BC12D2" w:rsidRDefault="009042E4">
      <w:pPr>
        <w:widowControl/>
        <w:spacing w:line="276" w:lineRule="auto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32"/>
          <w:szCs w:val="32"/>
        </w:rPr>
        <w:t>softwarových služeb - systém TRITIUS</w:t>
      </w:r>
    </w:p>
    <w:p w14:paraId="3731C785" w14:textId="77777777" w:rsidR="00BC12D2" w:rsidRDefault="009042E4">
      <w:pPr>
        <w:widowControl/>
        <w:tabs>
          <w:tab w:val="left" w:pos="5880"/>
        </w:tabs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číslo smlouvy Poskytovatele: SAAS – 1/2018 </w:t>
      </w:r>
    </w:p>
    <w:p w14:paraId="0BBFF902" w14:textId="77777777" w:rsidR="00BC12D2" w:rsidRDefault="009042E4">
      <w:pPr>
        <w:widowControl/>
        <w:tabs>
          <w:tab w:val="left" w:pos="5880"/>
        </w:tabs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číslo smlouvy Objednatele: SM6118-007, </w:t>
      </w:r>
      <w:proofErr w:type="gramStart"/>
      <w:r>
        <w:rPr>
          <w:rFonts w:ascii="Calibri" w:eastAsia="Calibri" w:hAnsi="Calibri" w:cs="Calibri"/>
          <w:sz w:val="24"/>
          <w:szCs w:val="24"/>
        </w:rPr>
        <w:t>č.j.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105959/2018-OAIS</w:t>
      </w:r>
    </w:p>
    <w:p w14:paraId="5EC08456" w14:textId="77777777" w:rsidR="00BC12D2" w:rsidRDefault="00BC12D2">
      <w:pPr>
        <w:widowControl/>
        <w:tabs>
          <w:tab w:val="left" w:pos="5880"/>
        </w:tabs>
        <w:spacing w:line="276" w:lineRule="auto"/>
        <w:rPr>
          <w:rFonts w:ascii="Arial" w:eastAsia="Arial" w:hAnsi="Arial" w:cs="Arial"/>
          <w:color w:val="00000A"/>
          <w:sz w:val="22"/>
          <w:szCs w:val="22"/>
        </w:rPr>
      </w:pPr>
    </w:p>
    <w:p w14:paraId="1AA1C371" w14:textId="77777777" w:rsidR="00BC12D2" w:rsidRDefault="009042E4">
      <w:pPr>
        <w:spacing w:line="276" w:lineRule="auto"/>
        <w:ind w:left="1620" w:hanging="16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Poskytovatel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AD3849E" w14:textId="77777777" w:rsidR="00BC12D2" w:rsidRDefault="009042E4">
      <w:pPr>
        <w:widowControl/>
        <w:spacing w:line="276" w:lineRule="auto"/>
        <w:ind w:left="357" w:hanging="357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Tritius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Solutions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a.s.</w:t>
      </w:r>
    </w:p>
    <w:p w14:paraId="2F936E93" w14:textId="77777777" w:rsidR="00BC12D2" w:rsidRPr="00576C7D" w:rsidRDefault="009042E4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>se sídlem: Brno, Vodní 258/13, Staré Brno, 602 00 Brno</w:t>
      </w:r>
    </w:p>
    <w:p w14:paraId="4605DAB0" w14:textId="77777777" w:rsidR="00BC12D2" w:rsidRPr="00576C7D" w:rsidRDefault="009042E4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 xml:space="preserve">IČO: 05700582, DIČ:   CZ05700582, ID datové schránky: </w:t>
      </w:r>
      <w:r w:rsidRPr="00576C7D">
        <w:rPr>
          <w:rFonts w:ascii="Calibri" w:eastAsia="Calibri" w:hAnsi="Calibri" w:cs="Calibri"/>
          <w:color w:val="1E2D3C"/>
          <w:sz w:val="22"/>
          <w:szCs w:val="22"/>
          <w:shd w:val="clear" w:color="auto" w:fill="FAFAFA"/>
        </w:rPr>
        <w:t>dvj9x5c</w:t>
      </w:r>
      <w:r w:rsidRPr="00576C7D">
        <w:rPr>
          <w:rFonts w:ascii="Calibri" w:eastAsia="Calibri" w:hAnsi="Calibri" w:cs="Calibri"/>
          <w:sz w:val="22"/>
          <w:szCs w:val="22"/>
        </w:rPr>
        <w:t xml:space="preserve"> </w:t>
      </w:r>
    </w:p>
    <w:p w14:paraId="69A3713E" w14:textId="0E964294" w:rsidR="00BC12D2" w:rsidRPr="00576C7D" w:rsidRDefault="00704952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XXX</w:t>
      </w:r>
    </w:p>
    <w:p w14:paraId="3E3C5986" w14:textId="3BD56F2C" w:rsidR="00BC12D2" w:rsidRPr="00576C7D" w:rsidRDefault="00704952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Bankovní </w:t>
      </w:r>
      <w:proofErr w:type="gramStart"/>
      <w:r>
        <w:rPr>
          <w:rFonts w:ascii="Calibri" w:eastAsia="Calibri" w:hAnsi="Calibri" w:cs="Calibri"/>
          <w:sz w:val="22"/>
          <w:szCs w:val="22"/>
        </w:rPr>
        <w:t>spojení : XXX</w:t>
      </w:r>
      <w:proofErr w:type="gramEnd"/>
    </w:p>
    <w:p w14:paraId="2C434924" w14:textId="3116D502" w:rsidR="00BC12D2" w:rsidRPr="00576C7D" w:rsidRDefault="009042E4" w:rsidP="00576C7D">
      <w:pPr>
        <w:spacing w:line="276" w:lineRule="auto"/>
        <w:ind w:left="357" w:hanging="357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 xml:space="preserve">jednající: </w:t>
      </w:r>
      <w:r w:rsidR="00704952">
        <w:rPr>
          <w:rFonts w:ascii="Calibri" w:eastAsia="Calibri" w:hAnsi="Calibri" w:cs="Calibri"/>
          <w:sz w:val="22"/>
          <w:szCs w:val="22"/>
        </w:rPr>
        <w:t>XXX</w:t>
      </w:r>
    </w:p>
    <w:p w14:paraId="2C59AD4A" w14:textId="77777777" w:rsidR="00BC12D2" w:rsidRDefault="00BC12D2">
      <w:pPr>
        <w:spacing w:line="276" w:lineRule="auto"/>
        <w:ind w:left="357" w:hanging="357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0759C71A" w14:textId="77777777" w:rsidR="00BC12D2" w:rsidRDefault="00BC12D2">
      <w:pPr>
        <w:spacing w:line="276" w:lineRule="auto"/>
        <w:ind w:left="357" w:hanging="357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1A37F468" w14:textId="77777777" w:rsidR="00BC12D2" w:rsidRDefault="009042E4">
      <w:pPr>
        <w:widowControl/>
        <w:spacing w:line="276" w:lineRule="auto"/>
        <w:ind w:left="357" w:hanging="35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Objednatel</w:t>
      </w:r>
      <w:r>
        <w:rPr>
          <w:rFonts w:ascii="Calibri" w:eastAsia="Calibri" w:hAnsi="Calibri" w:cs="Calibri"/>
          <w:b/>
          <w:sz w:val="23"/>
          <w:szCs w:val="23"/>
        </w:rPr>
        <w:t>:</w:t>
      </w:r>
      <w:r>
        <w:rPr>
          <w:rFonts w:ascii="Calibri" w:eastAsia="Calibri" w:hAnsi="Calibri" w:cs="Calibri"/>
          <w:b/>
          <w:sz w:val="23"/>
          <w:szCs w:val="23"/>
        </w:rPr>
        <w:tab/>
      </w:r>
    </w:p>
    <w:p w14:paraId="6FA809F4" w14:textId="77777777" w:rsidR="00BC12D2" w:rsidRDefault="009042E4">
      <w:pPr>
        <w:widowControl/>
        <w:spacing w:line="276" w:lineRule="auto"/>
        <w:ind w:left="357" w:hanging="35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Česká republika – Ministerstvo zahraničních věcí </w:t>
      </w:r>
    </w:p>
    <w:p w14:paraId="1C92BD1E" w14:textId="77777777" w:rsidR="00BC12D2" w:rsidRPr="00576C7D" w:rsidRDefault="009042E4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>se sídlem: Loretánské nám. 101/5, 118 00 Praha 1</w:t>
      </w:r>
    </w:p>
    <w:p w14:paraId="446DFBE5" w14:textId="77777777" w:rsidR="00BC12D2" w:rsidRPr="00576C7D" w:rsidRDefault="009042E4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>IČO: 45769851, DIČ: CZ45769851</w:t>
      </w:r>
    </w:p>
    <w:p w14:paraId="4A654B6B" w14:textId="36EF5D5C" w:rsidR="00BC12D2" w:rsidRPr="00576C7D" w:rsidRDefault="00704952" w:rsidP="00576C7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977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Bankovní spojení: XXX</w:t>
      </w:r>
    </w:p>
    <w:p w14:paraId="2B0B2FCC" w14:textId="2421DCEE" w:rsidR="00BC12D2" w:rsidRPr="00576C7D" w:rsidRDefault="009042E4" w:rsidP="00576C7D">
      <w:pPr>
        <w:widowControl/>
        <w:spacing w:line="276" w:lineRule="auto"/>
        <w:ind w:left="357" w:hanging="357"/>
        <w:rPr>
          <w:rFonts w:ascii="Calibri" w:eastAsia="Calibri" w:hAnsi="Calibri" w:cs="Calibri"/>
          <w:sz w:val="22"/>
          <w:szCs w:val="22"/>
        </w:rPr>
      </w:pPr>
      <w:r w:rsidRPr="00576C7D">
        <w:rPr>
          <w:rFonts w:ascii="Calibri" w:eastAsia="Calibri" w:hAnsi="Calibri" w:cs="Calibri"/>
          <w:sz w:val="22"/>
          <w:szCs w:val="22"/>
        </w:rPr>
        <w:t xml:space="preserve">jednající: </w:t>
      </w:r>
      <w:r w:rsidR="00704952">
        <w:rPr>
          <w:rFonts w:ascii="Calibri" w:eastAsia="Calibri" w:hAnsi="Calibri" w:cs="Calibri"/>
          <w:sz w:val="22"/>
          <w:szCs w:val="22"/>
        </w:rPr>
        <w:t>XXX</w:t>
      </w:r>
    </w:p>
    <w:p w14:paraId="67357C79" w14:textId="77777777" w:rsidR="00BC12D2" w:rsidRDefault="00BC12D2">
      <w:pPr>
        <w:widowControl/>
        <w:spacing w:line="276" w:lineRule="auto"/>
        <w:rPr>
          <w:rFonts w:ascii="Calibri" w:eastAsia="Calibri" w:hAnsi="Calibri" w:cs="Calibri"/>
          <w:sz w:val="23"/>
          <w:szCs w:val="23"/>
        </w:rPr>
      </w:pPr>
    </w:p>
    <w:p w14:paraId="09F52638" w14:textId="77777777" w:rsidR="00BC12D2" w:rsidRDefault="00BC12D2">
      <w:pPr>
        <w:widowControl/>
        <w:spacing w:line="276" w:lineRule="auto"/>
        <w:ind w:left="357" w:hanging="357"/>
        <w:rPr>
          <w:rFonts w:ascii="Calibri" w:eastAsia="Calibri" w:hAnsi="Calibri" w:cs="Calibri"/>
          <w:sz w:val="23"/>
          <w:szCs w:val="23"/>
        </w:rPr>
      </w:pPr>
    </w:p>
    <w:p w14:paraId="1CC7FA47" w14:textId="77777777" w:rsidR="00BC12D2" w:rsidRDefault="00BC12D2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3ED937A8" w14:textId="77777777" w:rsidR="00BC12D2" w:rsidRDefault="009042E4">
      <w:pPr>
        <w:widowControl/>
        <w:numPr>
          <w:ilvl w:val="0"/>
          <w:numId w:val="2"/>
        </w:numPr>
        <w:tabs>
          <w:tab w:val="left" w:pos="426"/>
          <w:tab w:val="left" w:pos="852"/>
        </w:tabs>
        <w:spacing w:line="276" w:lineRule="auto"/>
        <w:ind w:left="426" w:hanging="426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Úvodní ustanovení</w:t>
      </w:r>
    </w:p>
    <w:p w14:paraId="2E38F4E9" w14:textId="77777777" w:rsidR="00BC12D2" w:rsidRPr="00F7597F" w:rsidRDefault="009042E4">
      <w:pPr>
        <w:widowControl/>
        <w:numPr>
          <w:ilvl w:val="1"/>
          <w:numId w:val="4"/>
        </w:numPr>
        <w:tabs>
          <w:tab w:val="left" w:pos="1069"/>
          <w:tab w:val="left" w:pos="1418"/>
        </w:tabs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Poskytovatel je poskytovatelem softwarové služby představující databázovou webovou aplikaci pro evidenci dokumentů (knih, časopisů, článků, smluv a jiných dokumentů, uživatelů a výpůjček, aj.) určenou zejména pro knihovny, a to pod názvem </w:t>
      </w:r>
      <w:proofErr w:type="spellStart"/>
      <w:r>
        <w:rPr>
          <w:rFonts w:ascii="Calibri" w:eastAsia="Calibri" w:hAnsi="Calibri" w:cs="Calibri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(dále jen „Služba Systému”, „Systém“ nebo „Software”), která je specifikována v příloze č. 1. této Smlouvy, jakož i poskytovatelem související softwarové služby. </w:t>
      </w:r>
    </w:p>
    <w:p w14:paraId="208F4366" w14:textId="77777777" w:rsidR="00F7597F" w:rsidRDefault="00F7597F" w:rsidP="00F7597F">
      <w:pPr>
        <w:widowControl/>
        <w:tabs>
          <w:tab w:val="left" w:pos="1069"/>
          <w:tab w:val="left" w:pos="1418"/>
        </w:tabs>
        <w:spacing w:line="276" w:lineRule="auto"/>
        <w:ind w:left="360"/>
        <w:jc w:val="both"/>
      </w:pPr>
    </w:p>
    <w:p w14:paraId="71C418E0" w14:textId="259B42B4" w:rsidR="00BC12D2" w:rsidRPr="00F7597F" w:rsidRDefault="009042E4" w:rsidP="00F7597F">
      <w:pPr>
        <w:widowControl/>
        <w:numPr>
          <w:ilvl w:val="1"/>
          <w:numId w:val="4"/>
        </w:numPr>
        <w:tabs>
          <w:tab w:val="left" w:pos="1069"/>
          <w:tab w:val="left" w:pos="1418"/>
        </w:tabs>
        <w:spacing w:line="276" w:lineRule="auto"/>
        <w:jc w:val="both"/>
      </w:pPr>
      <w:r w:rsidRPr="00F7597F">
        <w:rPr>
          <w:rFonts w:ascii="Calibri" w:eastAsia="Calibri" w:hAnsi="Calibri" w:cs="Calibri"/>
          <w:sz w:val="22"/>
          <w:szCs w:val="22"/>
        </w:rPr>
        <w:t>Smlouva se uzavírá na základě potřeby Objednatele a exklusivního výhradního postavení Poskytovatele na trhu, přímým oslovením Poskytovatele o distribuci Software.</w:t>
      </w:r>
    </w:p>
    <w:p w14:paraId="0AFB49E1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360"/>
        <w:jc w:val="both"/>
        <w:rPr>
          <w:color w:val="00000A"/>
        </w:rPr>
      </w:pPr>
    </w:p>
    <w:p w14:paraId="654E03FE" w14:textId="77777777" w:rsidR="00BC12D2" w:rsidRDefault="009042E4">
      <w:pPr>
        <w:widowControl/>
        <w:numPr>
          <w:ilvl w:val="1"/>
          <w:numId w:val="4"/>
        </w:numPr>
        <w:tabs>
          <w:tab w:val="left" w:pos="1069"/>
          <w:tab w:val="left" w:pos="1418"/>
        </w:tabs>
        <w:spacing w:line="276" w:lineRule="auto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Poskytovatel prohlašuje, že je přímo nebo na základě platných smluvních vztahů se třetími osobami oprávněn poskytnout / dodat Objednateli Software, poskytnout licence k jeho užívání (dále jen „</w:t>
      </w:r>
      <w:r>
        <w:rPr>
          <w:rFonts w:ascii="Calibri" w:eastAsia="Calibri" w:hAnsi="Calibri" w:cs="Calibri"/>
          <w:sz w:val="22"/>
          <w:szCs w:val="22"/>
          <w:u w:val="single"/>
        </w:rPr>
        <w:t>Licence</w:t>
      </w:r>
      <w:r>
        <w:rPr>
          <w:rFonts w:ascii="Calibri" w:eastAsia="Calibri" w:hAnsi="Calibri" w:cs="Calibri"/>
          <w:sz w:val="22"/>
          <w:szCs w:val="22"/>
        </w:rPr>
        <w:t xml:space="preserve">“), a to alespoň v rozsahu stanoveném touto Smlouvou a jejími přílohami, a že jeho užíváním dle této Smlouvy nebudou porušena osobnostní ani majetková autorská práva třetích osob ani nebudou jakkoliv negativně dotčena práva a oprávněné zájmy Objednatele. Licencí se rozumí licence programového produktu ve smyslu autorského zákona, tj. nevýhradní oprávnění k výkonu práva programový produkt užívat, a to všemi způsoby běžného užití (včetně pořízení záložních kopií) v rozsahu, čase a podobě uvedené v této Smlouvě. </w:t>
      </w:r>
    </w:p>
    <w:p w14:paraId="7CFC1D82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360"/>
        <w:jc w:val="both"/>
        <w:rPr>
          <w:color w:val="00000A"/>
        </w:rPr>
      </w:pPr>
    </w:p>
    <w:p w14:paraId="6F04F631" w14:textId="77777777" w:rsidR="00BC12D2" w:rsidRPr="00576C7D" w:rsidRDefault="009042E4">
      <w:pPr>
        <w:widowControl/>
        <w:numPr>
          <w:ilvl w:val="1"/>
          <w:numId w:val="4"/>
        </w:numPr>
        <w:tabs>
          <w:tab w:val="left" w:pos="1069"/>
          <w:tab w:val="left" w:pos="1418"/>
        </w:tabs>
        <w:spacing w:line="276" w:lineRule="auto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Právní vztahy založené touto Smlouvou se řídí jejími ustanoveními, ustanoveními Všeobecných obchodních podmínek (dále jen VOP), která jsou nedílnou součástí této Smlouvy jako její příloha č. 2 a před nimiž mají ustanovení Smlouvy přednost, a ve zbývajících záležitostech příslušnými právními předpisy právního řádu České republiky, zejména zákonem č. 89/2012 Sb., občanský zákoník, ve znění pozdějších předpisů (dále jen „občanský zákoník“), zákonem č. 121/2000 Sb., autorský zákon, ve znění pozdějších předpisů (dále jen „autorský zákon“) a zákonem č. 134/2016 Sb., o zadávání veřejných zakázek, ve znění pozdějších předpisů.</w:t>
      </w:r>
    </w:p>
    <w:p w14:paraId="68E6C165" w14:textId="77777777" w:rsidR="00576C7D" w:rsidRDefault="00576C7D" w:rsidP="00576C7D">
      <w:pPr>
        <w:widowControl/>
        <w:tabs>
          <w:tab w:val="left" w:pos="1069"/>
          <w:tab w:val="left" w:pos="1418"/>
        </w:tabs>
        <w:spacing w:line="276" w:lineRule="auto"/>
        <w:ind w:left="360"/>
        <w:jc w:val="both"/>
        <w:rPr>
          <w:color w:val="00000A"/>
        </w:rPr>
      </w:pPr>
    </w:p>
    <w:p w14:paraId="2C659A48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50DC85F6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Předmět smlouvy</w:t>
      </w:r>
    </w:p>
    <w:p w14:paraId="370C04FC" w14:textId="77777777" w:rsidR="00BC12D2" w:rsidRDefault="00BC12D2">
      <w:pPr>
        <w:widowControl/>
        <w:spacing w:line="276" w:lineRule="auto"/>
        <w:rPr>
          <w:rFonts w:ascii="Arial" w:eastAsia="Arial" w:hAnsi="Arial" w:cs="Arial"/>
          <w:color w:val="00000A"/>
          <w:sz w:val="22"/>
          <w:szCs w:val="22"/>
        </w:rPr>
      </w:pPr>
    </w:p>
    <w:p w14:paraId="6328107C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Povinnosti Poskytovatele</w:t>
      </w:r>
    </w:p>
    <w:p w14:paraId="130D5631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Poskytovatel se zavazuje zpřístupnit Software a poskytovat softwarové služby dle specifikace uvedené v příloze č. 1. – Specifikace systému TRITIUS.</w:t>
      </w:r>
    </w:p>
    <w:p w14:paraId="01B053EC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Poskytovatel je oprávněn pověřit provedením části prací jinou osobu (smluvního partnera) po předchozím písemném souhlasu Objednatele; v takovém případě však má Poskytovatel odpovědnost, jako by tyto činnosti prováděl sám. Poskytování předmětu Smlouvy jinou osobou je Objednatel oprávněn odmítnout i bez uvedení důvodu, a to i poté, kdy již zahájila provádění prací.</w:t>
      </w:r>
    </w:p>
    <w:p w14:paraId="77963CF8" w14:textId="77777777" w:rsidR="00576C7D" w:rsidRDefault="00576C7D" w:rsidP="00421C7D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13C5A15C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Povinnosti Objednatele</w:t>
      </w:r>
    </w:p>
    <w:p w14:paraId="1FCC08E3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Objednatel se zavazuje zejména převzít Systém a související softwarové služby, poskytnuté v požadované kvalitě, řádně a včas dle této Smlouvy, a hradit cenu ve výši a za podmínek uvedených dále v bodě F. </w:t>
      </w:r>
      <w:proofErr w:type="gramStart"/>
      <w:r>
        <w:rPr>
          <w:rFonts w:ascii="Calibri" w:eastAsia="Calibri" w:hAnsi="Calibri" w:cs="Calibri"/>
          <w:sz w:val="22"/>
          <w:szCs w:val="22"/>
        </w:rPr>
        <w:t>této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Smlouvy. </w:t>
      </w:r>
    </w:p>
    <w:p w14:paraId="717DA45C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Objednatel se zavazuje poskytnout Poskytovateli prokazatelně požadovanou součinnost. Poskytovatel není v prodlení s předáním Softwaru v případech, kdy došlo k překročení sjednaného termínu v důsledku neposkytnutí součinnosti ze strany Objednatele.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C174A97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</w:p>
    <w:p w14:paraId="249575B9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Zpřístupnění Softwaru</w:t>
      </w:r>
    </w:p>
    <w:p w14:paraId="14D1FF38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5738C5FC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Způsob zpřístupnění Softwaru</w:t>
      </w:r>
    </w:p>
    <w:p w14:paraId="381028B1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Poskytovatel je povinen zpřístupnit (dodat) Software formou jeho zpřístupnění přes webové rozhraní a poskytnout za tímto účelem veškeré přístupové údaje. Údaje se zavazuje poskytnout Poskytovatel e-mailem. Objednavatel příjem údajů a přístup potvrdí e-mailem.</w:t>
      </w:r>
    </w:p>
    <w:p w14:paraId="5EF5E777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Poskytovatel se zavazuje provádět zprovoznění Systému s přihlédnutím k provozním potřebám Objednatele tak, aby byla jeho činnost omezena pouze v nezbytné míře; Objednatel bere na vědomí, že po tuto dobu může docházet k určitým omezením, které však nebudou zásadně bránit jeho běžné činnosti.</w:t>
      </w:r>
    </w:p>
    <w:p w14:paraId="1ABD9FEB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77ACAC1F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Poskytování Softwaru jako služby</w:t>
      </w:r>
    </w:p>
    <w:p w14:paraId="3654127B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Software </w:t>
      </w:r>
      <w:proofErr w:type="gramStart"/>
      <w:r>
        <w:rPr>
          <w:rFonts w:ascii="Calibri" w:eastAsia="Calibri" w:hAnsi="Calibri" w:cs="Calibri"/>
          <w:sz w:val="22"/>
          <w:szCs w:val="22"/>
        </w:rPr>
        <w:t>bude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poskytován formou služby přes výše uvedené webové rozhraní dle podmínek uvedených ve VOP v článku V. Software </w:t>
      </w:r>
      <w:proofErr w:type="gramStart"/>
      <w:r>
        <w:rPr>
          <w:rFonts w:ascii="Calibri" w:eastAsia="Calibri" w:hAnsi="Calibri" w:cs="Calibri"/>
          <w:sz w:val="22"/>
          <w:szCs w:val="22"/>
        </w:rPr>
        <w:t>bude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provozován na serveru umístěném v </w:t>
      </w:r>
      <w:proofErr w:type="spellStart"/>
      <w:r>
        <w:rPr>
          <w:rFonts w:ascii="Calibri" w:eastAsia="Calibri" w:hAnsi="Calibri" w:cs="Calibri"/>
          <w:sz w:val="22"/>
          <w:szCs w:val="22"/>
        </w:rPr>
        <w:t>hostingovém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centru Poskytovatele či jeho smluvního partnera.</w:t>
      </w:r>
    </w:p>
    <w:p w14:paraId="5255BDD7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Software bude zpřístupněn po celou dobu trvání této Smlouvy. Poskytovatel je oprávněn znepřístupnit Software v případě prodlení více než 21 dní Objednatele s úhradou finančních závazků vůči Poskytovateli nebo v případě hrubého porušení smluvních podmínek vyplývajících z této Smlouvy a jejích příloh Objednatelem.</w:t>
      </w:r>
    </w:p>
    <w:p w14:paraId="3E60D40C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Objednatel je povinen uchovávat v tajnosti své přístupové údaje k Softwaru a chránit je před zneužitím ze strany jiných subjektů.</w:t>
      </w:r>
    </w:p>
    <w:p w14:paraId="23B39C44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Objednatel není oprávněn Software šířit, kopírovat nebo jiným způsobem umožnit jeho užívání jinými osobami, nebude-li smluvními stranami předem písemně sjednáno jinak. Výjimkou jsou veřejně dostupné části Služby Systému: Webový katalog a některé komunikační moduly: OAI Provider, NCIP Server a Z39.50 Server, pokud jsou součástí Služby Systému.</w:t>
      </w:r>
    </w:p>
    <w:p w14:paraId="3C7E9041" w14:textId="1FD9C428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 xml:space="preserve">Data Objednatele budou umístěna v SQL databázích systému </w:t>
      </w:r>
      <w:proofErr w:type="spellStart"/>
      <w:r>
        <w:rPr>
          <w:rFonts w:ascii="Calibri" w:eastAsia="Calibri" w:hAnsi="Calibri" w:cs="Calibri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280899">
        <w:rPr>
          <w:rFonts w:ascii="Calibri" w:eastAsia="Calibri" w:hAnsi="Calibri" w:cs="Calibri"/>
          <w:sz w:val="22"/>
          <w:szCs w:val="22"/>
        </w:rPr>
        <w:t xml:space="preserve"> </w:t>
      </w:r>
      <w:r w:rsidR="00A65C52">
        <w:rPr>
          <w:rFonts w:ascii="Calibri" w:eastAsia="Calibri" w:hAnsi="Calibri" w:cs="Calibri"/>
          <w:sz w:val="22"/>
          <w:szCs w:val="22"/>
        </w:rPr>
        <w:t xml:space="preserve">Záloha dat bude prováděna u Poskytovatele dle Přílohy č. 2 VOP, </w:t>
      </w:r>
      <w:proofErr w:type="gramStart"/>
      <w:r w:rsidR="006A5187">
        <w:rPr>
          <w:rFonts w:ascii="Calibri" w:eastAsia="Calibri" w:hAnsi="Calibri" w:cs="Calibri"/>
          <w:sz w:val="22"/>
          <w:szCs w:val="22"/>
        </w:rPr>
        <w:t>odst. V.3.</w:t>
      </w:r>
      <w:proofErr w:type="gramEnd"/>
      <w:r w:rsidR="006A5187">
        <w:rPr>
          <w:rFonts w:ascii="Calibri" w:eastAsia="Calibri" w:hAnsi="Calibri" w:cs="Calibri"/>
          <w:sz w:val="22"/>
          <w:szCs w:val="22"/>
        </w:rPr>
        <w:t xml:space="preserve"> Žádná další záloha ze strany Objednatele nebude prováděna.</w:t>
      </w:r>
    </w:p>
    <w:p w14:paraId="5E70E640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C3E20E2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Testovací provoz, školení, převzetí Systému </w:t>
      </w:r>
    </w:p>
    <w:p w14:paraId="66804CB3" w14:textId="77777777" w:rsidR="00BC12D2" w:rsidRDefault="009042E4">
      <w:pPr>
        <w:widowControl/>
        <w:numPr>
          <w:ilvl w:val="2"/>
          <w:numId w:val="4"/>
        </w:numPr>
        <w:tabs>
          <w:tab w:val="left" w:pos="1073"/>
          <w:tab w:val="left" w:pos="1426"/>
        </w:tabs>
        <w:spacing w:line="276" w:lineRule="auto"/>
        <w:ind w:left="713" w:hanging="703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Případné testování Systému Objednatelem bude probíhat v termínech sjednaných předem písemně (e-mailem) a vzájemně prokazatelně potvrzených; termíny se takto stanou pro smluvní strany závaznými. </w:t>
      </w:r>
    </w:p>
    <w:p w14:paraId="630B5D9F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Poskytovatel za účelem ovládání Systému zaškolí klíčové knihovnice a knihovníky -  pracovníky  Objednatele, a to na požádání Objednatele a ve vzájemně dohodnutém termínu.</w:t>
      </w:r>
    </w:p>
    <w:p w14:paraId="46137A7F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Poskytovatel nepřebírá žádnou odpovědnost a záruky pro případ, kdy vyjde dodatečně najevo, že zaměstnanci vybraní Objednatelem k zaškolení nebyli dostatečně odborně způsobilí. </w:t>
      </w:r>
    </w:p>
    <w:p w14:paraId="744F3CE4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Termíny jednotlivých dnů školení budou dohodnuty odpovědnými osobami smluvních stran. Konkrétní termíny školení budou dohodnuty předem písemně (e-mailem) a vzájemně potvrzeny.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EDFE01B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0DA5273B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Licence a záruka</w:t>
      </w:r>
    </w:p>
    <w:p w14:paraId="13DEB77C" w14:textId="77777777" w:rsidR="00BC12D2" w:rsidRDefault="00BC12D2">
      <w:pPr>
        <w:widowControl/>
        <w:spacing w:line="276" w:lineRule="auto"/>
        <w:ind w:left="426"/>
        <w:rPr>
          <w:rFonts w:ascii="Arial" w:eastAsia="Arial" w:hAnsi="Arial" w:cs="Arial"/>
          <w:color w:val="00000A"/>
          <w:sz w:val="22"/>
          <w:szCs w:val="22"/>
        </w:rPr>
      </w:pPr>
    </w:p>
    <w:p w14:paraId="6231DA99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Předáním Systému poskytuje Poskytovatel časově omezené, nevýlučné a nepřevoditelné právo užívat Software (licenci), a to konkrétně k Softwaru a velikostní licenci a škále modulů uvedených v Příloze č. 1 této Smlouvy. Další pravidla užívání systému jsou uvedena ve VOP.</w:t>
      </w:r>
    </w:p>
    <w:p w14:paraId="2D9C1585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Licenční podmínky pro použití Systému a záruční podmínky jsou uvedeny ve VOP.</w:t>
      </w:r>
    </w:p>
    <w:p w14:paraId="57F26568" w14:textId="2B7F1ADB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Poskytovatel se zavazuje provozovat Systém, případně jeho nástupce,</w:t>
      </w:r>
      <w:r>
        <w:rPr>
          <w:rFonts w:ascii="Arial" w:eastAsia="Arial" w:hAnsi="Arial" w:cs="Arial"/>
          <w:color w:val="333333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minimálně po dobu</w:t>
      </w:r>
      <w:r>
        <w:rPr>
          <w:rFonts w:ascii="Calibri" w:eastAsia="Calibri" w:hAnsi="Calibri" w:cs="Calibri"/>
          <w:sz w:val="22"/>
          <w:szCs w:val="22"/>
        </w:rPr>
        <w:br/>
        <w:t>5 let od oboustranného podepsání této Smlouvy. Cena Systému však může</w:t>
      </w:r>
      <w:r w:rsidR="006A5187">
        <w:rPr>
          <w:rFonts w:ascii="Calibri" w:eastAsia="Calibri" w:hAnsi="Calibri" w:cs="Calibri"/>
          <w:sz w:val="22"/>
          <w:szCs w:val="22"/>
        </w:rPr>
        <w:t xml:space="preserve"> být změněna dle </w:t>
      </w:r>
      <w:proofErr w:type="gramStart"/>
      <w:r w:rsidR="006A5187">
        <w:rPr>
          <w:rFonts w:ascii="Calibri" w:eastAsia="Calibri" w:hAnsi="Calibri" w:cs="Calibri"/>
          <w:sz w:val="22"/>
          <w:szCs w:val="22"/>
        </w:rPr>
        <w:t>článku F.1.5</w:t>
      </w:r>
      <w:proofErr w:type="gramEnd"/>
      <w:r w:rsidR="006A5187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293BAC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Poskytovatel neručí za chybné fungování Systému prokazatelně způsobené chybnými daty zadanými Objednatelem do Systému nebo technickými nedostatky na straně Objednatele.</w:t>
      </w:r>
    </w:p>
    <w:p w14:paraId="0DE2F6C0" w14:textId="77777777" w:rsidR="00BC12D2" w:rsidRDefault="00BC12D2">
      <w:pPr>
        <w:widowControl/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6343EE3" w14:textId="1D948726" w:rsidR="00A65C52" w:rsidRPr="00A65C52" w:rsidRDefault="00A65C52" w:rsidP="004D3059">
      <w:pPr>
        <w:pStyle w:val="Odstavecseseznamem"/>
        <w:widowControl/>
        <w:numPr>
          <w:ilvl w:val="0"/>
          <w:numId w:val="7"/>
        </w:numPr>
        <w:spacing w:line="276" w:lineRule="auto"/>
        <w:jc w:val="center"/>
        <w:rPr>
          <w:rFonts w:ascii="Arial" w:eastAsia="Arial" w:hAnsi="Arial" w:cs="Arial"/>
          <w:color w:val="00000A"/>
          <w:sz w:val="22"/>
          <w:szCs w:val="22"/>
        </w:rPr>
      </w:pPr>
      <w:r w:rsidRPr="00A65C52">
        <w:rPr>
          <w:rFonts w:ascii="Arial" w:eastAsia="Arial" w:hAnsi="Arial" w:cs="Arial"/>
          <w:color w:val="00000A"/>
          <w:sz w:val="22"/>
          <w:szCs w:val="22"/>
        </w:rPr>
        <w:t>Konec stránky</w:t>
      </w:r>
      <w:r>
        <w:rPr>
          <w:rFonts w:ascii="Arial" w:eastAsia="Arial" w:hAnsi="Arial" w:cs="Arial"/>
          <w:color w:val="00000A"/>
          <w:sz w:val="22"/>
          <w:szCs w:val="22"/>
        </w:rPr>
        <w:t xml:space="preserve"> -</w:t>
      </w:r>
    </w:p>
    <w:p w14:paraId="3D5D5F82" w14:textId="77777777" w:rsidR="00A65C52" w:rsidRDefault="00A65C52">
      <w:pPr>
        <w:widowControl/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4225DE49" w14:textId="77777777" w:rsidR="00A65C52" w:rsidRDefault="00A65C52">
      <w:pPr>
        <w:widowControl/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41CD6B1D" w14:textId="77777777" w:rsidR="00A65C52" w:rsidRDefault="00A65C52">
      <w:pPr>
        <w:widowControl/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578BCC4" w14:textId="77777777" w:rsidR="00A65C52" w:rsidRDefault="00A65C52">
      <w:pPr>
        <w:widowControl/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3212FE8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Servis a údržba </w:t>
      </w:r>
    </w:p>
    <w:p w14:paraId="4B379DB7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FAA456E" w14:textId="5461881B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V ceně poskytnutého Systému a souvisejících softwarových služeb je dále zahrnut pouze záruční servis. Běžný mimozáruční servis v ceně Systému není</w:t>
      </w:r>
      <w:r>
        <w:rPr>
          <w:rFonts w:ascii="Calibri" w:eastAsia="Calibri" w:hAnsi="Calibri" w:cs="Calibri"/>
          <w:sz w:val="22"/>
          <w:szCs w:val="22"/>
        </w:rPr>
        <w:br/>
        <w:t xml:space="preserve">a hradí se zvlášť na základě zaslané objednávky Objednatele Poskytovateli a dle platného </w:t>
      </w:r>
      <w:r w:rsidR="003A66CB">
        <w:rPr>
          <w:rFonts w:ascii="Calibri" w:eastAsia="Calibri" w:hAnsi="Calibri" w:cs="Calibri"/>
          <w:sz w:val="22"/>
          <w:szCs w:val="22"/>
        </w:rPr>
        <w:t>ceníku servisu (P</w:t>
      </w:r>
      <w:r>
        <w:rPr>
          <w:rFonts w:ascii="Calibri" w:eastAsia="Calibri" w:hAnsi="Calibri" w:cs="Calibri"/>
          <w:sz w:val="22"/>
          <w:szCs w:val="22"/>
        </w:rPr>
        <w:t>říloha č. 3 smlouvy), popřípadě dle servisní smlouvy uzavřené</w:t>
      </w:r>
      <w:r>
        <w:rPr>
          <w:rFonts w:ascii="Calibri" w:eastAsia="Calibri" w:hAnsi="Calibri" w:cs="Calibri"/>
          <w:sz w:val="22"/>
          <w:szCs w:val="22"/>
        </w:rPr>
        <w:br/>
        <w:t>s Poskytovatelem nebo servisními body</w:t>
      </w:r>
      <w:r w:rsidR="003A66CB">
        <w:rPr>
          <w:rFonts w:ascii="Calibri" w:eastAsia="Calibri" w:hAnsi="Calibri" w:cs="Calibri"/>
          <w:sz w:val="22"/>
          <w:szCs w:val="22"/>
        </w:rPr>
        <w:t>. Částky uvedené v P</w:t>
      </w:r>
      <w:r>
        <w:rPr>
          <w:rFonts w:ascii="Calibri" w:eastAsia="Calibri" w:hAnsi="Calibri" w:cs="Calibri"/>
          <w:sz w:val="22"/>
          <w:szCs w:val="22"/>
        </w:rPr>
        <w:t>říloze č. 3 jsou orientační a mohou se v průběhu doby účinnosti smlouvy změnit, a to s ohledem na aktuální situaci na trhu.</w:t>
      </w:r>
    </w:p>
    <w:p w14:paraId="32365F88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Podmínky servisu a údržby jsou uvedeny ve VOP.</w:t>
      </w:r>
    </w:p>
    <w:p w14:paraId="6AFBC4B0" w14:textId="77777777" w:rsidR="00BC12D2" w:rsidRDefault="00BC12D2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57B57D6F" w14:textId="77777777" w:rsidR="00BC12D2" w:rsidRDefault="00BC12D2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689A01EF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Celková cena a platební podmínky</w:t>
      </w:r>
    </w:p>
    <w:p w14:paraId="77491C44" w14:textId="77777777" w:rsidR="00BC12D2" w:rsidRDefault="00BC12D2">
      <w:pPr>
        <w:widowControl/>
        <w:spacing w:line="276" w:lineRule="auto"/>
        <w:ind w:left="426"/>
        <w:rPr>
          <w:rFonts w:ascii="Arial" w:eastAsia="Arial" w:hAnsi="Arial" w:cs="Arial"/>
          <w:color w:val="00000A"/>
          <w:sz w:val="22"/>
          <w:szCs w:val="22"/>
        </w:rPr>
      </w:pPr>
    </w:p>
    <w:p w14:paraId="4ACE52DD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Cenové podmínky</w:t>
      </w:r>
    </w:p>
    <w:p w14:paraId="684DD35B" w14:textId="3CAF5032" w:rsidR="00BC12D2" w:rsidRDefault="009042E4">
      <w:pPr>
        <w:widowControl/>
        <w:numPr>
          <w:ilvl w:val="2"/>
          <w:numId w:val="4"/>
        </w:numPr>
        <w:tabs>
          <w:tab w:val="left" w:pos="1073"/>
          <w:tab w:val="left" w:pos="1426"/>
        </w:tabs>
        <w:spacing w:line="276" w:lineRule="auto"/>
        <w:ind w:left="713" w:hanging="713"/>
        <w:jc w:val="both"/>
      </w:pPr>
      <w:r>
        <w:rPr>
          <w:rFonts w:ascii="Calibri" w:eastAsia="Calibri" w:hAnsi="Calibri" w:cs="Calibri"/>
          <w:sz w:val="22"/>
          <w:szCs w:val="22"/>
        </w:rPr>
        <w:t>Cena Služby Systému a ostatních sjednaných činností včetně záručního servisu je upravena v příloze č. 1. Výše ceny Služby Systému vychází z ceníku Služby Systému, který je zveřejňován na webových stránkách Poskytovatele. Tato cena je maximální pro dobu trvání Smlouvy (</w:t>
      </w:r>
      <w:proofErr w:type="gramStart"/>
      <w:r>
        <w:rPr>
          <w:rFonts w:ascii="Calibri" w:eastAsia="Calibri" w:hAnsi="Calibri" w:cs="Calibri"/>
          <w:sz w:val="22"/>
          <w:szCs w:val="22"/>
        </w:rPr>
        <w:t>viz D.1.3</w:t>
      </w:r>
      <w:proofErr w:type="gramEnd"/>
      <w:r>
        <w:rPr>
          <w:rFonts w:ascii="Calibri" w:eastAsia="Calibri" w:hAnsi="Calibri" w:cs="Calibri"/>
          <w:sz w:val="22"/>
          <w:szCs w:val="22"/>
        </w:rPr>
        <w:t>.) a překročit ji lze výhradně formou Specifikace č.</w:t>
      </w:r>
      <w:r w:rsidR="003A66C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  dle ustanovení v příloze č. 1 ke Smlouvě, čl. VII. Platnost dodatku.</w:t>
      </w:r>
    </w:p>
    <w:p w14:paraId="0CB2398E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Součástí sjednané ceny implementace jsou veškeré práce, dodávky a náklady Poskytovatele. </w:t>
      </w:r>
    </w:p>
    <w:p w14:paraId="2C56BADA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Součástí ceny implementace nejsou činnosti, vícepráce a dodávky, které byly dohodnuty s Objednatelem po podpisu této Smlouvy.</w:t>
      </w:r>
    </w:p>
    <w:p w14:paraId="164B14DD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Cena je uvedena jako cena plnění bez DPH, výše DPH bude účtována dle zákona k datu uskutečnění zdanitelného plnění (dále jen „DUZP“).</w:t>
      </w:r>
    </w:p>
    <w:p w14:paraId="596C29B1" w14:textId="77777777" w:rsidR="00BC12D2" w:rsidRPr="003A66CB" w:rsidRDefault="009042E4">
      <w:pPr>
        <w:numPr>
          <w:ilvl w:val="2"/>
          <w:numId w:val="4"/>
        </w:numPr>
        <w:tabs>
          <w:tab w:val="left" w:pos="1080"/>
          <w:tab w:val="left" w:pos="1425"/>
        </w:tabs>
        <w:spacing w:line="276" w:lineRule="auto"/>
        <w:ind w:left="738" w:hanging="700"/>
        <w:jc w:val="both"/>
        <w:rPr>
          <w:u w:val="single"/>
        </w:rPr>
      </w:pPr>
      <w:r>
        <w:rPr>
          <w:rFonts w:ascii="Calibri" w:eastAsia="Calibri" w:hAnsi="Calibri" w:cs="Calibri"/>
          <w:sz w:val="22"/>
          <w:szCs w:val="22"/>
        </w:rPr>
        <w:t>Cena Služby Systému je garantována prvních 24 měsíců od uzavření smlouvy (tj. Období garantované ceny služby). Poskytovatel je oprávněn změnit cenu Služby Systému po uplynutí tohoto období v souvislosti s ustanovením v </w:t>
      </w:r>
      <w:proofErr w:type="gramStart"/>
      <w:r>
        <w:rPr>
          <w:rFonts w:ascii="Calibri" w:eastAsia="Calibri" w:hAnsi="Calibri" w:cs="Calibri"/>
          <w:sz w:val="22"/>
          <w:szCs w:val="22"/>
        </w:rPr>
        <w:t>odst. F.1.6</w:t>
      </w:r>
      <w:proofErr w:type="gramEnd"/>
      <w:r>
        <w:rPr>
          <w:rFonts w:ascii="Calibri" w:eastAsia="Calibri" w:hAnsi="Calibri" w:cs="Calibri"/>
          <w:sz w:val="22"/>
          <w:szCs w:val="22"/>
        </w:rPr>
        <w:t>. tohoto článku, a to však v maximální výši 10% navýšení ročně z vypočtené ceny poskytování služby za 1 (jeden) předcházející rok. Poskytovatel je povinen informaci o ní sdělit písemně Objednateli na jeho e-mailovou adresu uvedenou v bodě V. přílohy č. 1 této Smlouvy. Objednatel e-mailem potvrdí obdržení této informace. Objednatel je povinen se s novými cenovými podmínkami seznámit. Přijímá-li Objednatel nadále plnění dle této smlouvy, stávají se pro něj nové cenové podmínky závaznými okamžikem a s účinností ode dne, kdy přijal oznámení o změně cenových podmínek. Objednatel má však možnost tuto změnu cenových podmínek odmítnout, a to formou výpovědi s výpovědní dobou 3 měsíců, která začíná běžet okamžikem doručení výpovědi; po výpovědní dobu platí cena ujednaná v bodě III. přílohy č. 1 této smlouvy. Pokud objednatel neučiní výpověď ve lhůtě 30 dnů ode dne oznámení o změně těchto cenových podmínek, pak se má za to, že se změnou cenových podmínek souhlasí.</w:t>
      </w:r>
    </w:p>
    <w:p w14:paraId="2588491D" w14:textId="77777777" w:rsidR="00BC12D2" w:rsidRDefault="009042E4">
      <w:pPr>
        <w:numPr>
          <w:ilvl w:val="2"/>
          <w:numId w:val="4"/>
        </w:numPr>
        <w:tabs>
          <w:tab w:val="left" w:pos="1080"/>
          <w:tab w:val="left" w:pos="1425"/>
        </w:tabs>
        <w:spacing w:line="276" w:lineRule="auto"/>
        <w:ind w:left="738" w:hanging="700"/>
        <w:jc w:val="both"/>
        <w:rPr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je vázán smluvními vztahy a podmínkami třetích osob a subdodavatelů, </w:t>
      </w:r>
      <w:proofErr w:type="gramStart"/>
      <w:r>
        <w:rPr>
          <w:rFonts w:ascii="Calibri" w:eastAsia="Calibri" w:hAnsi="Calibri" w:cs="Calibri"/>
          <w:sz w:val="22"/>
          <w:szCs w:val="22"/>
        </w:rPr>
        <w:t>viz. odst.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A.3. a článku C., bodu C.2.1., kteří nezávisle na Poskytovateli reagují na aktuální tržní situaci, a kteří zprostředkovaně poskytují Objednateli části plnění smlouvy. Poskytovatel je tedy druhotně ovlivněn situací na trhu a je nucen se aktuálnímu stavu přizpůsobit. A však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zavazuje se v co nejvyšší možné míře neupravovat podmínky smlouvy změnami ve Specifikaci služby z důvodu úpravy ceny, pokud mu to situace interně dovoluje.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869A0E4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Platební podmínky</w:t>
      </w:r>
    </w:p>
    <w:p w14:paraId="074E5659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Objednatel neposkytuje zálohy za plnění, které nebylo provedeno. Objednatel uhradí plnění na základě faktur vystavených Poskytovatelem čtvrtletně vždy</w:t>
      </w:r>
      <w:r>
        <w:rPr>
          <w:rFonts w:ascii="Calibri" w:eastAsia="Calibri" w:hAnsi="Calibri" w:cs="Calibri"/>
          <w:sz w:val="22"/>
          <w:szCs w:val="22"/>
        </w:rPr>
        <w:br/>
        <w:t xml:space="preserve">k poslednímu dni měsíce příslušného čtvrtletí, který je zároveň DUZP, a doručených do 15 dnů od DUZP, a to bankovním převodem na účet Poskytovatele uvedený v záhlaví této Smlouvy. Splatnost faktury bude 21 dní od jejího doručení Objednateli. </w:t>
      </w:r>
    </w:p>
    <w:p w14:paraId="63535033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Faktura musí odkazovat na tuto Smlouvu a musí obsahovat údaje o příslušné části účtovaného plnění, a dále splňovat náležitosti daňového dokladu. </w:t>
      </w:r>
    </w:p>
    <w:p w14:paraId="0E389364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V případě, že faktura nebude obsahovat zákonem předepsané nebo výše uvedené náležitosti nebo bude jinak neúplná, nesprávně či neoprávněně účtovaná, je Objednatel oprávněn ji do data splatnosti vrátit s tím, že Poskytovatel je poté povinen vystavit novou fakturu s novým termínem splatnosti. V takovém případě není Objednatel v prodlení s úhradou faktury.</w:t>
      </w:r>
    </w:p>
    <w:p w14:paraId="2B7B1528" w14:textId="77777777" w:rsidR="00BC12D2" w:rsidRDefault="00BC12D2">
      <w:pPr>
        <w:widowControl/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BE7715B" w14:textId="77777777" w:rsidR="00BC12D2" w:rsidRDefault="009042E4">
      <w:pPr>
        <w:numPr>
          <w:ilvl w:val="1"/>
          <w:numId w:val="4"/>
        </w:numP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sz w:val="22"/>
          <w:szCs w:val="22"/>
          <w:u w:val="single"/>
        </w:rPr>
        <w:t>Ostatní</w:t>
      </w:r>
    </w:p>
    <w:p w14:paraId="68F47105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Faktura je zaplacena okamžikem odepsání příslušné správně účtované částky z účtu Objednatele ve prospěch účtu Poskytovatele uvedený v této Smlouvě.</w:t>
      </w:r>
    </w:p>
    <w:p w14:paraId="04A0B92B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>V případě prodlení Objednatele s úhradou jakýchkoliv plateb (peněžitých plnění) dle této Smlouvy je Objednatel povinen zaplatit Poskytovateli úrok z prodlení za každý den prodlení ve výši stanovené právními předpisy (§ 1802 a násl. a § 1970 občanského zákoníku).</w:t>
      </w:r>
      <w:r>
        <w:rPr>
          <w:rFonts w:ascii="Cambria" w:eastAsia="Cambria" w:hAnsi="Cambria" w:cs="Cambria"/>
        </w:rPr>
        <w:t xml:space="preserve"> </w:t>
      </w:r>
    </w:p>
    <w:p w14:paraId="24EC4CC3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7FA05513" w14:textId="77777777" w:rsidR="004D3059" w:rsidRDefault="004D3059">
      <w:pPr>
        <w:widowControl/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184999C7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Ukončení a zánik Smlouvy</w:t>
      </w:r>
    </w:p>
    <w:p w14:paraId="5A9D1EF7" w14:textId="010A71B1" w:rsidR="00BC12D2" w:rsidRDefault="004D3059" w:rsidP="004D3059">
      <w:pPr>
        <w:widowControl/>
        <w:tabs>
          <w:tab w:val="left" w:pos="5258"/>
        </w:tabs>
        <w:spacing w:line="276" w:lineRule="auto"/>
        <w:ind w:left="360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Arial" w:eastAsia="Arial" w:hAnsi="Arial" w:cs="Arial"/>
          <w:color w:val="00000A"/>
          <w:sz w:val="22"/>
          <w:szCs w:val="22"/>
        </w:rPr>
        <w:tab/>
      </w:r>
    </w:p>
    <w:p w14:paraId="58B9C1FF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Smlouvu lze ukončit:</w:t>
      </w:r>
    </w:p>
    <w:p w14:paraId="69542C6D" w14:textId="77777777" w:rsidR="00BC12D2" w:rsidRDefault="009042E4">
      <w:pPr>
        <w:keepNext/>
        <w:numPr>
          <w:ilvl w:val="3"/>
          <w:numId w:val="3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písemnou dohodou smluvních stran;</w:t>
      </w:r>
    </w:p>
    <w:p w14:paraId="5D3934CD" w14:textId="77777777" w:rsidR="00BC12D2" w:rsidRDefault="009042E4">
      <w:pPr>
        <w:keepNext/>
        <w:numPr>
          <w:ilvl w:val="3"/>
          <w:numId w:val="3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neakceptací aktualizované Specifikace služeb (přílohy č. 1) či VOP (přílohy č. 2);</w:t>
      </w:r>
    </w:p>
    <w:p w14:paraId="76AB8931" w14:textId="77777777" w:rsidR="00BC12D2" w:rsidRDefault="009042E4">
      <w:pPr>
        <w:keepNext/>
        <w:numPr>
          <w:ilvl w:val="3"/>
          <w:numId w:val="3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odstoupením od Smlouvy, a to v případech podstatného porušení povinností nebo dalších podmínek výslovně sjednaných v této Smlouvě a jejich přílohách.</w:t>
      </w:r>
    </w:p>
    <w:p w14:paraId="2DBB0C25" w14:textId="77777777" w:rsidR="00BC12D2" w:rsidRDefault="009042E4">
      <w:pPr>
        <w:numPr>
          <w:ilvl w:val="3"/>
          <w:numId w:val="3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výpovědí kterékoliv smluvní strany s výpovědní lhůtou 3 měsíce, která začne plynout prvním dnem měsíce následujícího po řádném doručení písemné výpovědi.</w:t>
      </w:r>
    </w:p>
    <w:p w14:paraId="7BCDBE48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Každá ze smluvních stran může odstoupit od této Smlouvy pro podstatné porušení povinnosti, zejména:</w:t>
      </w:r>
    </w:p>
    <w:p w14:paraId="1F09BE01" w14:textId="77777777" w:rsidR="00BC12D2" w:rsidRDefault="009042E4">
      <w:pPr>
        <w:keepNext/>
        <w:numPr>
          <w:ilvl w:val="3"/>
          <w:numId w:val="5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 prodlení Objednatele s placením ceny nebo její části delším než 30 dnů po dni splatnosti; </w:t>
      </w:r>
    </w:p>
    <w:p w14:paraId="53CAEAED" w14:textId="77777777" w:rsidR="00BC12D2" w:rsidRDefault="009042E4">
      <w:pPr>
        <w:keepNext/>
        <w:numPr>
          <w:ilvl w:val="3"/>
          <w:numId w:val="5"/>
        </w:numP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pro prodlení Poskytovatele s předáním celého Systému delším než 15 dnů nebo neposkytnutím softwarové služby v časech jednaných touto smlouvou a jejími přílohami.</w:t>
      </w:r>
    </w:p>
    <w:p w14:paraId="62C090AD" w14:textId="77777777" w:rsidR="00E045C6" w:rsidRDefault="009042E4" w:rsidP="00E045C6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Odstoupí-li Objednatel od této Smlouvy z  důvodu </w:t>
      </w:r>
      <w:proofErr w:type="gramStart"/>
      <w:r>
        <w:rPr>
          <w:rFonts w:ascii="Calibri" w:eastAsia="Calibri" w:hAnsi="Calibri" w:cs="Calibri"/>
          <w:sz w:val="22"/>
          <w:szCs w:val="22"/>
        </w:rPr>
        <w:t>uvedeného v G.1.2</w:t>
      </w:r>
      <w:proofErr w:type="gramEnd"/>
      <w:r>
        <w:rPr>
          <w:rFonts w:ascii="Calibri" w:eastAsia="Calibri" w:hAnsi="Calibri" w:cs="Calibri"/>
          <w:sz w:val="22"/>
          <w:szCs w:val="22"/>
        </w:rPr>
        <w:t>. bodu 1.1.b), má Poskytovatel nárok na úhradu části ceny odpovídající rozsahu prokázaného částečného provedení činností dle této Smlouvy; v případě ukončení Smlouvy výpovědí ze strany Objednatele má Poskytovatel nárok na úhradu hardwaru a softwaru závazně objednaného přede dnem doručení výpovědi, a to dle cen uvedených v této Smlouvě.</w:t>
      </w:r>
    </w:p>
    <w:p w14:paraId="7256F0CE" w14:textId="770708C0" w:rsidR="00BC12D2" w:rsidRDefault="009042E4" w:rsidP="00D65DB6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 w:rsidRPr="00E045C6">
        <w:rPr>
          <w:rFonts w:ascii="Calibri" w:eastAsia="Calibri" w:hAnsi="Calibri" w:cs="Calibri"/>
          <w:sz w:val="22"/>
          <w:szCs w:val="22"/>
        </w:rPr>
        <w:lastRenderedPageBreak/>
        <w:t>Smluvní pokuty je Objednatel oprávněn účtovat Poskytovateli ve výši 500,- (</w:t>
      </w:r>
      <w:proofErr w:type="spellStart"/>
      <w:r w:rsidRPr="00E045C6">
        <w:rPr>
          <w:rFonts w:ascii="Calibri" w:eastAsia="Calibri" w:hAnsi="Calibri" w:cs="Calibri"/>
          <w:sz w:val="22"/>
          <w:szCs w:val="22"/>
        </w:rPr>
        <w:t>pětset</w:t>
      </w:r>
      <w:proofErr w:type="spellEnd"/>
      <w:r w:rsidRPr="00E045C6">
        <w:rPr>
          <w:rFonts w:ascii="Calibri" w:eastAsia="Calibri" w:hAnsi="Calibri" w:cs="Calibri"/>
          <w:sz w:val="22"/>
          <w:szCs w:val="22"/>
        </w:rPr>
        <w:t xml:space="preserve">) Kč za každý den následující po uplynutí 24 (dvacet čtyři) hodin výpadku (prokazatelně ze strany Poskytovatele dle VOP </w:t>
      </w:r>
      <w:proofErr w:type="gramStart"/>
      <w:r w:rsidRPr="00E045C6">
        <w:rPr>
          <w:rFonts w:ascii="Calibri" w:eastAsia="Calibri" w:hAnsi="Calibri" w:cs="Calibri"/>
          <w:sz w:val="22"/>
          <w:szCs w:val="22"/>
        </w:rPr>
        <w:t>odst. V.5), po</w:t>
      </w:r>
      <w:proofErr w:type="gramEnd"/>
      <w:r w:rsidRPr="00E045C6">
        <w:rPr>
          <w:rFonts w:ascii="Calibri" w:eastAsia="Calibri" w:hAnsi="Calibri" w:cs="Calibri"/>
          <w:sz w:val="22"/>
          <w:szCs w:val="22"/>
        </w:rPr>
        <w:t xml:space="preserve"> které byl systém nefunkční nebo jeho funkčnost a řádné užívání bylo podstatně omezeno, jakož i přístup k systému, a to i opakovaně, až do zprovoznění systému a přístupu k němu. Úrok z prodlení a jeho výše se řídí </w:t>
      </w:r>
      <w:proofErr w:type="spellStart"/>
      <w:r w:rsidRPr="00E045C6">
        <w:rPr>
          <w:rFonts w:ascii="Calibri" w:eastAsia="Calibri" w:hAnsi="Calibri" w:cs="Calibri"/>
          <w:sz w:val="22"/>
          <w:szCs w:val="22"/>
        </w:rPr>
        <w:t>ust</w:t>
      </w:r>
      <w:proofErr w:type="spellEnd"/>
      <w:r w:rsidRPr="00E045C6">
        <w:rPr>
          <w:rFonts w:ascii="Calibri" w:eastAsia="Calibri" w:hAnsi="Calibri" w:cs="Calibri"/>
          <w:sz w:val="22"/>
          <w:szCs w:val="22"/>
        </w:rPr>
        <w:t>. § 1802 a § 1970 občanského zákoníku</w:t>
      </w:r>
      <w:r w:rsidRPr="00E045C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C6110D7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Oznámení o odstoupení musí být písemné, doručeno druhé smluvní straně a je účinné dnem jeho doručení, popř. pozdějším dnem uvedeným v písemném oznámení o odstoupení.</w:t>
      </w:r>
    </w:p>
    <w:p w14:paraId="02CFC148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Majetkové vypořádání jsou si smluvní strany povinny poskytnout do 30 dnů ode dne ukončení této Smlouvy. Smluvní strany se mohou ohledně vzájemného majetkového vypořádání dohodnout jinak.</w:t>
      </w:r>
    </w:p>
    <w:p w14:paraId="77368AF8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 xml:space="preserve">Možnost předání dat vložených Objednatelem zpět Objednateli a jejich odstranění ze Systému upravují VOP. </w:t>
      </w:r>
    </w:p>
    <w:p w14:paraId="027E458F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413F33EC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30B7CEB0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5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Zabezpečení ochrany osobních údajů</w:t>
      </w:r>
    </w:p>
    <w:p w14:paraId="1680FA46" w14:textId="77777777" w:rsidR="00BC12D2" w:rsidRDefault="00BC12D2">
      <w:pPr>
        <w:widowControl/>
        <w:tabs>
          <w:tab w:val="left" w:pos="360"/>
          <w:tab w:val="left" w:pos="720"/>
        </w:tabs>
        <w:spacing w:line="276" w:lineRule="auto"/>
        <w:ind w:left="50" w:hanging="360"/>
        <w:jc w:val="center"/>
        <w:rPr>
          <w:rFonts w:ascii="Arial" w:eastAsia="Arial" w:hAnsi="Arial" w:cs="Arial"/>
          <w:color w:val="00000A"/>
          <w:sz w:val="22"/>
          <w:szCs w:val="22"/>
        </w:rPr>
      </w:pPr>
    </w:p>
    <w:p w14:paraId="6D0E1C14" w14:textId="77777777" w:rsidR="00BC12D2" w:rsidRDefault="009042E4" w:rsidP="00D65DB6">
      <w:pPr>
        <w:widowControl/>
        <w:numPr>
          <w:ilvl w:val="1"/>
          <w:numId w:val="4"/>
        </w:numPr>
        <w:tabs>
          <w:tab w:val="left" w:pos="360"/>
          <w:tab w:val="left" w:pos="720"/>
        </w:tabs>
        <w:spacing w:line="276" w:lineRule="auto"/>
        <w:ind w:left="738" w:hanging="725"/>
        <w:jc w:val="both"/>
      </w:pPr>
      <w:r>
        <w:rPr>
          <w:rFonts w:ascii="Calibri" w:eastAsia="Calibri" w:hAnsi="Calibri" w:cs="Calibri"/>
          <w:sz w:val="22"/>
          <w:szCs w:val="22"/>
        </w:rPr>
        <w:t>Poskytovatel Služby Systému je zpracovatelem osobních údajů, Objednatel je správce osobních údajů ve smyslu zákona č. 101/2000 Sb., o Ochraně osobních údajů, ve znění pozdějších předpisů.</w:t>
      </w:r>
    </w:p>
    <w:p w14:paraId="51582480" w14:textId="77777777" w:rsidR="00BC12D2" w:rsidRDefault="009042E4" w:rsidP="00D65DB6">
      <w:pPr>
        <w:widowControl/>
        <w:numPr>
          <w:ilvl w:val="1"/>
          <w:numId w:val="4"/>
        </w:numPr>
        <w:tabs>
          <w:tab w:val="left" w:pos="360"/>
          <w:tab w:val="left" w:pos="720"/>
        </w:tabs>
        <w:spacing w:line="276" w:lineRule="auto"/>
        <w:ind w:left="763" w:hanging="763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knihovna používá pouze pro jmenované účely po dobu trvání čtenářského vztahu, chrání je před zneužitím a neposkytuje je třetím osobám. </w:t>
      </w:r>
    </w:p>
    <w:p w14:paraId="3D7D1871" w14:textId="77777777" w:rsidR="00BC12D2" w:rsidRDefault="009042E4" w:rsidP="00D65DB6">
      <w:pPr>
        <w:widowControl/>
        <w:numPr>
          <w:ilvl w:val="1"/>
          <w:numId w:val="4"/>
        </w:numPr>
        <w:tabs>
          <w:tab w:val="left" w:pos="360"/>
          <w:tab w:val="left" w:pos="720"/>
        </w:tabs>
        <w:spacing w:line="276" w:lineRule="auto"/>
        <w:ind w:left="705" w:hanging="705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Poskytovatel  se zavazuje, jako zpracovatel, osobní údaje vymezené v odstavci </w:t>
      </w:r>
      <w:proofErr w:type="gramStart"/>
      <w:r>
        <w:rPr>
          <w:rFonts w:ascii="Calibri" w:eastAsia="Calibri" w:hAnsi="Calibri" w:cs="Calibri"/>
          <w:sz w:val="22"/>
          <w:szCs w:val="22"/>
        </w:rPr>
        <w:t>H.2 (dále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jen „osobní údaje“) zpracovávat tímto způsobem (spravuje systém, provádí úpravy softwaru, programové změny apod.). Zpracování se nesmí účastnit žádná třetí osoba.</w:t>
      </w:r>
    </w:p>
    <w:p w14:paraId="031F8E02" w14:textId="77777777" w:rsidR="00BC12D2" w:rsidRDefault="009042E4" w:rsidP="00D65DB6">
      <w:pPr>
        <w:widowControl/>
        <w:numPr>
          <w:ilvl w:val="1"/>
          <w:numId w:val="4"/>
        </w:numPr>
        <w:tabs>
          <w:tab w:val="left" w:pos="360"/>
          <w:tab w:val="left" w:pos="720"/>
        </w:tabs>
        <w:spacing w:line="276" w:lineRule="auto"/>
        <w:ind w:left="705" w:hanging="705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Poskytovatel tímto deklaruje záruky zpracovatele o technickém a organizačním zabezpečení ochrany osobních údajů, zejména též s účinností od </w:t>
      </w:r>
      <w:proofErr w:type="gramStart"/>
      <w:r>
        <w:rPr>
          <w:rFonts w:ascii="Calibri" w:eastAsia="Calibri" w:hAnsi="Calibri" w:cs="Calibri"/>
          <w:sz w:val="22"/>
          <w:szCs w:val="22"/>
        </w:rPr>
        <w:t>25.5.2018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dodržovat GDPR (Nařízení Evropského parlamentu a Rady (EU) 2016/679 z 27.4.2016, o ochraně fyzických osob v souvislosti ze zpracováním osobních údajů a o volném pohybu těchto údajů). </w:t>
      </w:r>
    </w:p>
    <w:p w14:paraId="6C9785DE" w14:textId="77777777" w:rsidR="00BC12D2" w:rsidRDefault="00BC12D2">
      <w:pPr>
        <w:widowControl/>
        <w:tabs>
          <w:tab w:val="left" w:pos="360"/>
          <w:tab w:val="left" w:pos="720"/>
        </w:tabs>
        <w:spacing w:line="276" w:lineRule="auto"/>
        <w:ind w:left="705"/>
      </w:pPr>
    </w:p>
    <w:p w14:paraId="0BF776C3" w14:textId="77777777" w:rsidR="00BC12D2" w:rsidRDefault="009042E4">
      <w:pPr>
        <w:widowControl/>
        <w:numPr>
          <w:ilvl w:val="0"/>
          <w:numId w:val="4"/>
        </w:numP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Závěrečná ustanovení</w:t>
      </w:r>
    </w:p>
    <w:p w14:paraId="2F93CA9E" w14:textId="77777777" w:rsidR="00BC12D2" w:rsidRDefault="00BC12D2">
      <w:pPr>
        <w:widowControl/>
        <w:spacing w:line="276" w:lineRule="auto"/>
        <w:ind w:left="360"/>
        <w:rPr>
          <w:rFonts w:ascii="Arial" w:eastAsia="Arial" w:hAnsi="Arial" w:cs="Arial"/>
          <w:color w:val="00000A"/>
          <w:sz w:val="22"/>
          <w:szCs w:val="22"/>
        </w:rPr>
      </w:pPr>
    </w:p>
    <w:p w14:paraId="53D0D694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Smluvní vztah vzniklý z této Smlouvy se řídí českým právem. Pokud nebylo v této Smlouvě uvedeno jinak, platí v ostatním ustanovení občanského zákoníku zákona o právu autorském.</w:t>
      </w:r>
    </w:p>
    <w:p w14:paraId="0DC4DB0A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Práva a povinnosti vyplývající z této smlouvy přecházejí na právní nástupce smluvních stran, jejich převedení na jiný subjekt je však možné jen po předchozím písemném souhlasu druhé smluvní strany.</w:t>
      </w:r>
    </w:p>
    <w:p w14:paraId="5413B7FE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>Tato Smlouva je uzavřena a nabývá platnosti okamžikem jejího podpisu, a to na dobu 5 let. Tato Smlouva je vyhotovena ve 4 (čtyřech) stejnopisech, z nichž Objednatel obdrží 3 (tři) vyhotovení a Poskytovatel 1 (jedno) vyhotovení. Tato Smlouva může být měněna a doplňována pouze po dohodě smluvních stran formou číslovaných písemných dodatků.</w:t>
      </w:r>
    </w:p>
    <w:p w14:paraId="13866F4E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>Samostatnou součástí této Smlouvy je</w:t>
      </w:r>
    </w:p>
    <w:p w14:paraId="2768C99F" w14:textId="77777777" w:rsidR="00BC12D2" w:rsidRDefault="009042E4">
      <w:pPr>
        <w:numPr>
          <w:ilvl w:val="0"/>
          <w:numId w:val="1"/>
        </w:numPr>
        <w:tabs>
          <w:tab w:val="left" w:pos="2214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příloha č. 1 – Specifikace Služby systému </w:t>
      </w:r>
      <w:proofErr w:type="spellStart"/>
      <w:r>
        <w:rPr>
          <w:rFonts w:ascii="Calibri" w:eastAsia="Calibri" w:hAnsi="Calibri" w:cs="Calibri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7A0B9AC5" w14:textId="77777777" w:rsidR="00BC12D2" w:rsidRDefault="009042E4">
      <w:pPr>
        <w:numPr>
          <w:ilvl w:val="0"/>
          <w:numId w:val="1"/>
        </w:numPr>
        <w:tabs>
          <w:tab w:val="left" w:pos="2214"/>
          <w:tab w:val="left" w:pos="2268"/>
        </w:tabs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>příloha č. 2 – Všeobecné obchodní podmínky;</w:t>
      </w:r>
    </w:p>
    <w:p w14:paraId="2A3D78BF" w14:textId="2CA46695" w:rsidR="00BC12D2" w:rsidRDefault="009042E4">
      <w:pPr>
        <w:numPr>
          <w:ilvl w:val="0"/>
          <w:numId w:val="1"/>
        </w:numPr>
        <w:tabs>
          <w:tab w:val="left" w:pos="2214"/>
          <w:tab w:val="left" w:pos="2268"/>
        </w:tabs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příloha č. 3 – Ceník servisu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34DF08F" w14:textId="27FACF2F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V případě, že by některé ustanovení této Smlouvy bylo nebo se v budoucnu stalo z jakýchkoliv důvodů neplatné, nezpůsobuje neplatnost ostatních částí této Smlouvy. Smluvní strany se zavazují bezodkladně nahradit </w:t>
      </w:r>
      <w:r w:rsidR="00084E5C">
        <w:rPr>
          <w:rFonts w:ascii="Calibri" w:eastAsia="Calibri" w:hAnsi="Calibri" w:cs="Calibri"/>
          <w:sz w:val="22"/>
          <w:szCs w:val="22"/>
        </w:rPr>
        <w:t xml:space="preserve">dodatkem </w:t>
      </w:r>
      <w:r>
        <w:rPr>
          <w:rFonts w:ascii="Calibri" w:eastAsia="Calibri" w:hAnsi="Calibri" w:cs="Calibri"/>
          <w:sz w:val="22"/>
          <w:szCs w:val="22"/>
        </w:rPr>
        <w:t>po vzájemné dohodě toto ustanovení jiným, odpovídajícím svým obsa</w:t>
      </w:r>
      <w:r w:rsidR="00084E5C">
        <w:rPr>
          <w:rFonts w:ascii="Calibri" w:eastAsia="Calibri" w:hAnsi="Calibri" w:cs="Calibri"/>
          <w:sz w:val="22"/>
          <w:szCs w:val="22"/>
        </w:rPr>
        <w:t>hem účelu neplatného ustanovení.</w:t>
      </w:r>
    </w:p>
    <w:p w14:paraId="30126821" w14:textId="77777777" w:rsidR="00BC12D2" w:rsidRDefault="00BC12D2">
      <w:pPr>
        <w:widowControl/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</w:p>
    <w:p w14:paraId="4D318D15" w14:textId="77777777" w:rsidR="00BC12D2" w:rsidRDefault="009042E4">
      <w:pPr>
        <w:widowControl/>
        <w:numPr>
          <w:ilvl w:val="2"/>
          <w:numId w:val="4"/>
        </w:numP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color w:val="00000A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se dohodly, že tato smlouva, její případné dodatky či další dokumenty vyplývající dle zákona č.340/2015 Sb. o registru smluv bude uveřejněna v registru smluv, a to v celém jejím rozsahu, neboť obsahuje-li informace či </w:t>
      </w:r>
      <w:proofErr w:type="spellStart"/>
      <w:r>
        <w:rPr>
          <w:rFonts w:ascii="Calibri" w:eastAsia="Calibri" w:hAnsi="Calibri" w:cs="Calibri"/>
          <w:sz w:val="22"/>
          <w:szCs w:val="22"/>
        </w:rPr>
        <w:t>metadata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rPr>
          <w:rFonts w:ascii="Calibri" w:eastAsia="Calibri" w:hAnsi="Calibri" w:cs="Calibri"/>
          <w:sz w:val="22"/>
          <w:szCs w:val="22"/>
        </w:rPr>
        <w:t>metadat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(osobních údajů apod.). Uveřejnění této smlouvy v registru smluv zajistí bez zbytečného odkladu po jejím uzavření Objednatel. Uveřejněním v registru smluv nabývá tato Smlouva účinnosti. Smluvní strany prohlašují, že této Smlouvě porozuměly a na důkaz svého souhlasu s jejími ustanoveními připojují níže své podpisy.</w:t>
      </w:r>
    </w:p>
    <w:p w14:paraId="00FE4955" w14:textId="77777777" w:rsidR="00BC12D2" w:rsidRDefault="00BC12D2">
      <w:pPr>
        <w:widowControl/>
        <w:spacing w:line="276" w:lineRule="auto"/>
        <w:ind w:left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364FE82B" w14:textId="77777777" w:rsidR="00BC12D2" w:rsidRDefault="009042E4">
      <w:pPr>
        <w:widowControl/>
        <w:spacing w:line="276" w:lineRule="auto"/>
        <w:ind w:left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V Brně dne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V Praze dne  </w:t>
      </w:r>
    </w:p>
    <w:p w14:paraId="328A8C7E" w14:textId="77777777" w:rsidR="00BC12D2" w:rsidRDefault="00BC12D2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083C9F09" w14:textId="77777777" w:rsidR="00BC12D2" w:rsidRDefault="009042E4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Za Poskytovatele: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Za Objednatele:</w:t>
      </w:r>
    </w:p>
    <w:p w14:paraId="18ADC6E8" w14:textId="77777777" w:rsidR="00BC12D2" w:rsidRDefault="00BC12D2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5DB47351" w14:textId="77777777" w:rsidR="00BC12D2" w:rsidRDefault="00BC12D2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6EB8DDBD" w14:textId="77777777" w:rsidR="00BC12D2" w:rsidRDefault="00BC12D2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451F8A67" w14:textId="6625463E" w:rsidR="00BC12D2" w:rsidRDefault="009042E4">
      <w:pPr>
        <w:widowControl/>
        <w:spacing w:line="276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704952">
        <w:rPr>
          <w:rFonts w:ascii="Calibri" w:eastAsia="Calibri" w:hAnsi="Calibri" w:cs="Calibri"/>
          <w:sz w:val="22"/>
          <w:szCs w:val="22"/>
        </w:rPr>
        <w:t>XXX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704952">
        <w:rPr>
          <w:rFonts w:ascii="Calibri" w:eastAsia="Calibri" w:hAnsi="Calibri" w:cs="Calibri"/>
          <w:sz w:val="22"/>
          <w:szCs w:val="22"/>
        </w:rPr>
        <w:tab/>
      </w:r>
      <w:r w:rsidR="00704952">
        <w:rPr>
          <w:rFonts w:ascii="Calibri" w:eastAsia="Calibri" w:hAnsi="Calibri" w:cs="Calibri"/>
          <w:sz w:val="22"/>
          <w:szCs w:val="22"/>
        </w:rPr>
        <w:tab/>
      </w:r>
      <w:r w:rsidR="00704952">
        <w:rPr>
          <w:rFonts w:ascii="Calibri" w:eastAsia="Calibri" w:hAnsi="Calibri" w:cs="Calibri"/>
          <w:sz w:val="22"/>
          <w:szCs w:val="22"/>
        </w:rPr>
        <w:tab/>
      </w:r>
      <w:bookmarkStart w:id="1" w:name="_GoBack"/>
      <w:bookmarkEnd w:id="1"/>
      <w:r w:rsidR="00704952">
        <w:rPr>
          <w:rFonts w:ascii="Calibri" w:eastAsia="Calibri" w:hAnsi="Calibri" w:cs="Calibri"/>
          <w:sz w:val="22"/>
          <w:szCs w:val="22"/>
        </w:rPr>
        <w:t>XXX</w:t>
      </w:r>
    </w:p>
    <w:sectPr w:rsidR="00BC12D2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A213" w14:textId="77777777" w:rsidR="00D821E1" w:rsidRDefault="009042E4">
      <w:r>
        <w:separator/>
      </w:r>
    </w:p>
  </w:endnote>
  <w:endnote w:type="continuationSeparator" w:id="0">
    <w:p w14:paraId="1CB027BB" w14:textId="77777777" w:rsidR="00D821E1" w:rsidRDefault="009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E9B1" w14:textId="6E88A3E5" w:rsidR="00BC12D2" w:rsidRDefault="009042E4">
    <w:pPr>
      <w:widowControl/>
      <w:spacing w:after="708" w:line="276" w:lineRule="auto"/>
      <w:jc w:val="center"/>
      <w:rPr>
        <w:rFonts w:ascii="Arial" w:eastAsia="Arial" w:hAnsi="Arial" w:cs="Arial"/>
        <w:color w:val="00000A"/>
        <w:sz w:val="22"/>
        <w:szCs w:val="22"/>
      </w:rPr>
    </w:pPr>
    <w:proofErr w:type="gramStart"/>
    <w:r>
      <w:rPr>
        <w:rFonts w:ascii="Calibri" w:eastAsia="Calibri" w:hAnsi="Calibri" w:cs="Calibri"/>
      </w:rPr>
      <w:t xml:space="preserve">Stránka </w:t>
    </w:r>
    <w:proofErr w:type="gramEnd"/>
    <w:r>
      <w:rPr>
        <w:rFonts w:ascii="Arial" w:eastAsia="Arial" w:hAnsi="Arial" w:cs="Arial"/>
        <w:color w:val="00000A"/>
      </w:rPr>
      <w:fldChar w:fldCharType="begin"/>
    </w:r>
    <w:r>
      <w:rPr>
        <w:rFonts w:ascii="Arial" w:eastAsia="Arial" w:hAnsi="Arial" w:cs="Arial"/>
        <w:color w:val="00000A"/>
      </w:rPr>
      <w:instrText>PAGE</w:instrText>
    </w:r>
    <w:r>
      <w:rPr>
        <w:rFonts w:ascii="Arial" w:eastAsia="Arial" w:hAnsi="Arial" w:cs="Arial"/>
        <w:color w:val="00000A"/>
      </w:rPr>
      <w:fldChar w:fldCharType="separate"/>
    </w:r>
    <w:r w:rsidR="00704952">
      <w:rPr>
        <w:rFonts w:ascii="Arial" w:eastAsia="Arial" w:hAnsi="Arial" w:cs="Arial"/>
        <w:noProof/>
        <w:color w:val="00000A"/>
      </w:rPr>
      <w:t>7</w:t>
    </w:r>
    <w:r>
      <w:rPr>
        <w:rFonts w:ascii="Arial" w:eastAsia="Arial" w:hAnsi="Arial" w:cs="Arial"/>
        <w:color w:val="00000A"/>
      </w:rPr>
      <w:fldChar w:fldCharType="end"/>
    </w:r>
    <w:proofErr w:type="gramStart"/>
    <w:r>
      <w:rPr>
        <w:rFonts w:ascii="Calibri" w:eastAsia="Calibri" w:hAnsi="Calibri" w:cs="Calibri"/>
      </w:rPr>
      <w:t xml:space="preserve"> z </w:t>
    </w:r>
    <w:proofErr w:type="gramEnd"/>
    <w:r>
      <w:rPr>
        <w:rFonts w:ascii="Arial" w:eastAsia="Arial" w:hAnsi="Arial" w:cs="Arial"/>
        <w:color w:val="00000A"/>
      </w:rPr>
      <w:fldChar w:fldCharType="begin"/>
    </w:r>
    <w:r>
      <w:rPr>
        <w:rFonts w:ascii="Arial" w:eastAsia="Arial" w:hAnsi="Arial" w:cs="Arial"/>
        <w:color w:val="00000A"/>
      </w:rPr>
      <w:instrText>NUMPAGES</w:instrText>
    </w:r>
    <w:r>
      <w:rPr>
        <w:rFonts w:ascii="Arial" w:eastAsia="Arial" w:hAnsi="Arial" w:cs="Arial"/>
        <w:color w:val="00000A"/>
      </w:rPr>
      <w:fldChar w:fldCharType="separate"/>
    </w:r>
    <w:r w:rsidR="00704952">
      <w:rPr>
        <w:rFonts w:ascii="Arial" w:eastAsia="Arial" w:hAnsi="Arial" w:cs="Arial"/>
        <w:noProof/>
        <w:color w:val="00000A"/>
      </w:rPr>
      <w:t>7</w:t>
    </w:r>
    <w:r>
      <w:rPr>
        <w:rFonts w:ascii="Arial" w:eastAsia="Arial" w:hAnsi="Arial" w:cs="Arial"/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37948" w14:textId="77777777" w:rsidR="00D821E1" w:rsidRDefault="009042E4">
      <w:r>
        <w:separator/>
      </w:r>
    </w:p>
  </w:footnote>
  <w:footnote w:type="continuationSeparator" w:id="0">
    <w:p w14:paraId="31AAB68A" w14:textId="77777777" w:rsidR="00D821E1" w:rsidRDefault="0090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B85"/>
    <w:multiLevelType w:val="hybridMultilevel"/>
    <w:tmpl w:val="8DD0D824"/>
    <w:lvl w:ilvl="0" w:tplc="F49ED62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3102"/>
    <w:multiLevelType w:val="multilevel"/>
    <w:tmpl w:val="AB9E6434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  <w:strike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Calibri" w:eastAsia="Calibri" w:hAnsi="Calibri" w:cs="Calibri"/>
        <w:b/>
        <w:strike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●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3600" w:hanging="360"/>
      </w:pPr>
      <w:rPr>
        <w:vertAlign w:val="baseline"/>
      </w:rPr>
    </w:lvl>
  </w:abstractNum>
  <w:abstractNum w:abstractNumId="2">
    <w:nsid w:val="3D0529E3"/>
    <w:multiLevelType w:val="multilevel"/>
    <w:tmpl w:val="40E89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 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 %2.%3.%4)"/>
      <w:lvlJc w:val="left"/>
      <w:pPr>
        <w:ind w:left="1800" w:hanging="360"/>
      </w:pPr>
      <w:rPr>
        <w:strike w:val="0"/>
        <w:vertAlign w:val="baseline"/>
      </w:rPr>
    </w:lvl>
    <w:lvl w:ilvl="4">
      <w:start w:val="1"/>
      <w:numFmt w:val="decimal"/>
      <w:lvlText w:val="%5 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%5.%6. 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%5.%6.%7. 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%4.%5.%6.%7.%8 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%4.%5.%6.%7.%8.%9 "/>
      <w:lvlJc w:val="left"/>
      <w:pPr>
        <w:ind w:left="3600" w:hanging="360"/>
      </w:pPr>
      <w:rPr>
        <w:vertAlign w:val="baseline"/>
      </w:rPr>
    </w:lvl>
  </w:abstractNum>
  <w:abstractNum w:abstractNumId="3">
    <w:nsid w:val="428A6466"/>
    <w:multiLevelType w:val="multilevel"/>
    <w:tmpl w:val="F8F696B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  <w:strike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Calibri" w:eastAsia="Calibri" w:hAnsi="Calibri" w:cs="Calibri"/>
        <w:b/>
        <w:strike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●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3600" w:hanging="360"/>
      </w:pPr>
      <w:rPr>
        <w:vertAlign w:val="baseline"/>
      </w:rPr>
    </w:lvl>
  </w:abstractNum>
  <w:abstractNum w:abstractNumId="4">
    <w:nsid w:val="5B5804E4"/>
    <w:multiLevelType w:val="multilevel"/>
    <w:tmpl w:val="AC56F8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 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 %2.%3.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 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%5.%6. 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%5.%6.%7. 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%4.%5.%6.%7.%8 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%4.%5.%6.%7.%8.%9 "/>
      <w:lvlJc w:val="left"/>
      <w:pPr>
        <w:ind w:left="3600" w:hanging="360"/>
      </w:pPr>
      <w:rPr>
        <w:vertAlign w:val="baseline"/>
      </w:rPr>
    </w:lvl>
  </w:abstractNum>
  <w:abstractNum w:abstractNumId="5">
    <w:nsid w:val="661045A2"/>
    <w:multiLevelType w:val="hybridMultilevel"/>
    <w:tmpl w:val="7452DB84"/>
    <w:lvl w:ilvl="0" w:tplc="E0FA983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656E5A"/>
    <w:multiLevelType w:val="multilevel"/>
    <w:tmpl w:val="70E6C6FC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  <w:strike w:val="0"/>
        <w:vertAlign w:val="baseline"/>
      </w:rPr>
    </w:lvl>
    <w:lvl w:ilvl="1">
      <w:start w:val="1"/>
      <w:numFmt w:val="bullet"/>
      <w:lvlText w:val="◦"/>
      <w:lvlJc w:val="left"/>
      <w:pPr>
        <w:ind w:left="178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09" w:hanging="360"/>
      </w:pPr>
      <w:rPr>
        <w:rFonts w:ascii="Arial" w:eastAsia="Arial" w:hAnsi="Arial" w:cs="Arial"/>
        <w:strike w:val="0"/>
        <w:vertAlign w:val="baseline"/>
      </w:rPr>
    </w:lvl>
    <w:lvl w:ilvl="4">
      <w:start w:val="1"/>
      <w:numFmt w:val="bullet"/>
      <w:lvlText w:val="◦"/>
      <w:lvlJc w:val="left"/>
      <w:pPr>
        <w:ind w:left="286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22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  <w:strike w:val="0"/>
        <w:vertAlign w:val="baseline"/>
      </w:rPr>
    </w:lvl>
    <w:lvl w:ilvl="7">
      <w:start w:val="1"/>
      <w:numFmt w:val="bullet"/>
      <w:lvlText w:val="◦"/>
      <w:lvlJc w:val="left"/>
      <w:pPr>
        <w:ind w:left="394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309" w:hanging="36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2"/>
    <w:rsid w:val="00084E5C"/>
    <w:rsid w:val="00280899"/>
    <w:rsid w:val="003A66CB"/>
    <w:rsid w:val="00421C7D"/>
    <w:rsid w:val="00440940"/>
    <w:rsid w:val="004D3059"/>
    <w:rsid w:val="00576C7D"/>
    <w:rsid w:val="006A5187"/>
    <w:rsid w:val="00704952"/>
    <w:rsid w:val="009042E4"/>
    <w:rsid w:val="00A65C52"/>
    <w:rsid w:val="00BC12D2"/>
    <w:rsid w:val="00CC5314"/>
    <w:rsid w:val="00D65DB6"/>
    <w:rsid w:val="00D821E1"/>
    <w:rsid w:val="00D91F71"/>
    <w:rsid w:val="00E045C6"/>
    <w:rsid w:val="00EF44E3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F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2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2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464F34F1.dotm</Template>
  <TotalTime>2</TotalTime>
  <Pages>7</Pages>
  <Words>2436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DVOŘÁKOVÁ</dc:creator>
  <cp:lastModifiedBy>Kateřina DVOŘÁKOVÁ</cp:lastModifiedBy>
  <cp:revision>3</cp:revision>
  <dcterms:created xsi:type="dcterms:W3CDTF">2018-06-19T15:04:00Z</dcterms:created>
  <dcterms:modified xsi:type="dcterms:W3CDTF">2018-06-19T15:05:00Z</dcterms:modified>
</cp:coreProperties>
</file>