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2D3" w:rsidRPr="00B442D3" w:rsidRDefault="00B442D3" w:rsidP="00B442D3">
      <w:pPr>
        <w:pStyle w:val="Nzev"/>
        <w:rPr>
          <w:rFonts w:ascii="Times New Roman" w:hAnsi="Times New Roman" w:cs="Times New Roman"/>
        </w:rPr>
      </w:pPr>
      <w:bookmarkStart w:id="0" w:name="_GoBack"/>
      <w:bookmarkEnd w:id="0"/>
      <w:r w:rsidRPr="00B442D3">
        <w:rPr>
          <w:rFonts w:ascii="Times New Roman" w:hAnsi="Times New Roman" w:cs="Times New Roman"/>
        </w:rPr>
        <w:t>Smlouva o dílo – dodatek č. 1</w:t>
      </w:r>
    </w:p>
    <w:p w:rsidR="00B442D3" w:rsidRPr="00B442D3" w:rsidRDefault="00B442D3" w:rsidP="00B442D3">
      <w:pPr>
        <w:pStyle w:val="Nzev"/>
        <w:rPr>
          <w:rFonts w:ascii="Times New Roman" w:hAnsi="Times New Roman" w:cs="Times New Roman"/>
          <w:b w:val="0"/>
          <w:bCs w:val="0"/>
          <w:sz w:val="20"/>
        </w:rPr>
      </w:pPr>
    </w:p>
    <w:p w:rsidR="00B442D3" w:rsidRPr="00B442D3" w:rsidRDefault="00B442D3" w:rsidP="00B442D3">
      <w:pPr>
        <w:pStyle w:val="Nzev"/>
        <w:rPr>
          <w:rFonts w:ascii="Times New Roman" w:hAnsi="Times New Roman" w:cs="Times New Roman"/>
          <w:b w:val="0"/>
          <w:bCs w:val="0"/>
          <w:sz w:val="24"/>
        </w:rPr>
      </w:pPr>
      <w:r>
        <w:rPr>
          <w:rFonts w:ascii="Times New Roman" w:hAnsi="Times New Roman" w:cs="Times New Roman"/>
          <w:b w:val="0"/>
          <w:bCs w:val="0"/>
          <w:sz w:val="24"/>
        </w:rPr>
        <w:t>uzavřené dne 27. 7. 2016</w:t>
      </w:r>
      <w:r w:rsidRPr="00B442D3">
        <w:rPr>
          <w:rFonts w:ascii="Times New Roman" w:hAnsi="Times New Roman" w:cs="Times New Roman"/>
          <w:b w:val="0"/>
          <w:bCs w:val="0"/>
          <w:sz w:val="24"/>
        </w:rPr>
        <w:t xml:space="preserve"> podle § 2586 zákona č. 89/2012 Sb., občanský zákoník,</w:t>
      </w:r>
    </w:p>
    <w:p w:rsidR="00B442D3" w:rsidRPr="00B442D3" w:rsidRDefault="00B442D3" w:rsidP="00B442D3">
      <w:pPr>
        <w:jc w:val="center"/>
      </w:pPr>
      <w:r w:rsidRPr="00B442D3">
        <w:t>mezi</w:t>
      </w:r>
    </w:p>
    <w:p w:rsidR="00B442D3" w:rsidRPr="00B442D3" w:rsidRDefault="00B442D3" w:rsidP="00B442D3">
      <w:pPr>
        <w:tabs>
          <w:tab w:val="left" w:pos="2160"/>
          <w:tab w:val="left" w:leader="dot" w:pos="7920"/>
        </w:tabs>
        <w:jc w:val="both"/>
      </w:pPr>
    </w:p>
    <w:p w:rsidR="00B442D3" w:rsidRPr="00B442D3" w:rsidRDefault="00B442D3" w:rsidP="00B442D3">
      <w:pPr>
        <w:tabs>
          <w:tab w:val="left" w:pos="2160"/>
          <w:tab w:val="left" w:leader="dot" w:pos="7920"/>
        </w:tabs>
        <w:jc w:val="both"/>
      </w:pPr>
    </w:p>
    <w:p w:rsidR="00B442D3" w:rsidRPr="00B442D3" w:rsidRDefault="00B442D3" w:rsidP="00B442D3">
      <w:pPr>
        <w:jc w:val="both"/>
      </w:pPr>
      <w:r w:rsidRPr="00B442D3">
        <w:t>Společnost:</w:t>
      </w:r>
      <w:r>
        <w:tab/>
      </w:r>
      <w:r>
        <w:tab/>
      </w:r>
      <w:r w:rsidRPr="00B442D3">
        <w:t>BRANDA s.r.o.</w:t>
      </w:r>
    </w:p>
    <w:p w:rsidR="00B442D3" w:rsidRPr="00B442D3" w:rsidRDefault="00B442D3" w:rsidP="00B442D3">
      <w:pPr>
        <w:tabs>
          <w:tab w:val="left" w:pos="2160"/>
        </w:tabs>
        <w:jc w:val="both"/>
      </w:pPr>
      <w:r>
        <w:t>Sídlo:</w:t>
      </w:r>
      <w:r>
        <w:tab/>
      </w:r>
      <w:proofErr w:type="spellStart"/>
      <w:r>
        <w:t>Žal</w:t>
      </w:r>
      <w:r w:rsidRPr="00B442D3">
        <w:t>anská</w:t>
      </w:r>
      <w:proofErr w:type="spellEnd"/>
      <w:r w:rsidRPr="00B442D3">
        <w:t xml:space="preserve"> 295, 415 01 Teplice</w:t>
      </w:r>
    </w:p>
    <w:p w:rsidR="00B442D3" w:rsidRPr="00B442D3" w:rsidRDefault="00B442D3" w:rsidP="00B442D3">
      <w:pPr>
        <w:tabs>
          <w:tab w:val="left" w:pos="2160"/>
        </w:tabs>
        <w:jc w:val="both"/>
      </w:pPr>
      <w:r w:rsidRPr="00B442D3">
        <w:t>IČ:</w:t>
      </w:r>
      <w:r>
        <w:tab/>
      </w:r>
      <w:r w:rsidRPr="00B442D3">
        <w:t>27359484</w:t>
      </w:r>
    </w:p>
    <w:p w:rsidR="00B442D3" w:rsidRPr="00B442D3" w:rsidRDefault="00B442D3" w:rsidP="00B442D3">
      <w:pPr>
        <w:tabs>
          <w:tab w:val="left" w:pos="2160"/>
        </w:tabs>
        <w:jc w:val="both"/>
      </w:pPr>
      <w:r>
        <w:t>DIČ:</w:t>
      </w:r>
      <w:r>
        <w:tab/>
      </w:r>
      <w:r w:rsidRPr="00B442D3">
        <w:t>CZ27359484</w:t>
      </w:r>
    </w:p>
    <w:p w:rsidR="00B442D3" w:rsidRPr="00B442D3" w:rsidRDefault="00B442D3" w:rsidP="00B442D3">
      <w:pPr>
        <w:tabs>
          <w:tab w:val="left" w:pos="2160"/>
        </w:tabs>
        <w:jc w:val="both"/>
      </w:pPr>
      <w:r w:rsidRPr="00B442D3">
        <w:t>Zastoupená</w:t>
      </w:r>
      <w:r>
        <w:t>:</w:t>
      </w:r>
      <w:r>
        <w:tab/>
      </w:r>
      <w:r w:rsidRPr="00B442D3">
        <w:t>La</w:t>
      </w:r>
      <w:r>
        <w:t>dislavem Brandou, jednatelem společnosti</w:t>
      </w:r>
    </w:p>
    <w:p w:rsidR="00B442D3" w:rsidRPr="00B442D3" w:rsidRDefault="00B442D3" w:rsidP="00B442D3">
      <w:pPr>
        <w:tabs>
          <w:tab w:val="left" w:pos="2160"/>
          <w:tab w:val="left" w:leader="dot" w:pos="7920"/>
        </w:tabs>
        <w:jc w:val="both"/>
      </w:pPr>
      <w:r>
        <w:t>Bankovní spojení:</w:t>
      </w:r>
      <w:r>
        <w:tab/>
        <w:t xml:space="preserve">Komerční banka, a. s., č. účtu: </w:t>
      </w:r>
      <w:r w:rsidRPr="00B442D3">
        <w:t>43-2383870247/0100</w:t>
      </w:r>
    </w:p>
    <w:p w:rsidR="00B442D3" w:rsidRPr="00B442D3" w:rsidRDefault="00B442D3" w:rsidP="00B442D3">
      <w:pPr>
        <w:tabs>
          <w:tab w:val="left" w:pos="2160"/>
          <w:tab w:val="left" w:leader="dot" w:pos="7920"/>
        </w:tabs>
        <w:jc w:val="both"/>
      </w:pPr>
      <w:r w:rsidRPr="00B442D3">
        <w:t>E-mail:</w:t>
      </w:r>
      <w:r>
        <w:tab/>
      </w:r>
      <w:r w:rsidRPr="00B442D3">
        <w:t>obchod@branda-podlahy.cz</w:t>
      </w:r>
    </w:p>
    <w:p w:rsidR="00B442D3" w:rsidRPr="00B442D3" w:rsidRDefault="00B442D3" w:rsidP="00B442D3">
      <w:pPr>
        <w:jc w:val="both"/>
      </w:pPr>
      <w:r w:rsidRPr="00B442D3">
        <w:t>(dále jen Zhotovitel)</w:t>
      </w:r>
    </w:p>
    <w:p w:rsidR="00B442D3" w:rsidRPr="00B442D3" w:rsidRDefault="00B442D3" w:rsidP="00B442D3">
      <w:pPr>
        <w:tabs>
          <w:tab w:val="left" w:pos="2160"/>
          <w:tab w:val="left" w:leader="dot" w:pos="7920"/>
        </w:tabs>
        <w:jc w:val="both"/>
      </w:pPr>
    </w:p>
    <w:p w:rsidR="00B442D3" w:rsidRDefault="00B442D3" w:rsidP="00B442D3">
      <w:pPr>
        <w:tabs>
          <w:tab w:val="left" w:pos="2160"/>
          <w:tab w:val="left" w:leader="dot" w:pos="7920"/>
        </w:tabs>
        <w:jc w:val="both"/>
      </w:pPr>
      <w:r>
        <w:t>a</w:t>
      </w:r>
    </w:p>
    <w:p w:rsidR="00B442D3" w:rsidRDefault="00B442D3" w:rsidP="00B442D3">
      <w:pPr>
        <w:tabs>
          <w:tab w:val="left" w:pos="2160"/>
          <w:tab w:val="left" w:leader="dot" w:pos="7920"/>
        </w:tabs>
        <w:jc w:val="both"/>
      </w:pPr>
    </w:p>
    <w:p w:rsidR="00B442D3" w:rsidRDefault="00B442D3" w:rsidP="00B442D3">
      <w:pPr>
        <w:tabs>
          <w:tab w:val="left" w:pos="2160"/>
          <w:tab w:val="left" w:leader="dot" w:pos="7920"/>
        </w:tabs>
        <w:ind w:left="2124" w:hanging="2124"/>
        <w:jc w:val="both"/>
      </w:pPr>
      <w:r>
        <w:t>Společnost:</w:t>
      </w:r>
      <w:r>
        <w:tab/>
      </w:r>
      <w:r>
        <w:tab/>
        <w:t>Základní škola s rozšířeným vyučováním informatiky a výpočetní techniky, Teplice, Plynárenská 2953</w:t>
      </w:r>
    </w:p>
    <w:p w:rsidR="00B442D3" w:rsidRDefault="00B442D3" w:rsidP="00B442D3">
      <w:pPr>
        <w:tabs>
          <w:tab w:val="left" w:pos="2160"/>
          <w:tab w:val="left" w:leader="dot" w:pos="7920"/>
        </w:tabs>
        <w:ind w:left="1416" w:hanging="1416"/>
        <w:jc w:val="both"/>
      </w:pPr>
      <w:r>
        <w:t>Sídlo:</w:t>
      </w:r>
      <w:r>
        <w:tab/>
      </w:r>
      <w:r>
        <w:tab/>
        <w:t xml:space="preserve">Plynárenská 2953/6, </w:t>
      </w:r>
      <w:proofErr w:type="gramStart"/>
      <w:r>
        <w:t>415 01  Teplice</w:t>
      </w:r>
      <w:proofErr w:type="gramEnd"/>
    </w:p>
    <w:p w:rsidR="00B442D3" w:rsidRDefault="00B442D3" w:rsidP="00B442D3">
      <w:pPr>
        <w:tabs>
          <w:tab w:val="left" w:pos="2160"/>
          <w:tab w:val="left" w:leader="dot" w:pos="7920"/>
        </w:tabs>
        <w:ind w:left="1416" w:hanging="1416"/>
        <w:jc w:val="both"/>
      </w:pPr>
      <w:r>
        <w:t>IČ:</w:t>
      </w:r>
      <w:r>
        <w:tab/>
      </w:r>
      <w:r>
        <w:tab/>
        <w:t>46069771</w:t>
      </w:r>
    </w:p>
    <w:p w:rsidR="00B442D3" w:rsidRDefault="00B442D3" w:rsidP="00B442D3">
      <w:pPr>
        <w:tabs>
          <w:tab w:val="left" w:pos="2160"/>
          <w:tab w:val="left" w:leader="dot" w:pos="7920"/>
        </w:tabs>
        <w:ind w:left="1416" w:hanging="1416"/>
        <w:jc w:val="both"/>
      </w:pPr>
      <w:r>
        <w:t>Zastoupená:</w:t>
      </w:r>
      <w:r>
        <w:tab/>
      </w:r>
      <w:r>
        <w:tab/>
        <w:t>Mgr. Marcelou Prokůpkovou, ředitelkou školy</w:t>
      </w:r>
    </w:p>
    <w:p w:rsidR="00B442D3" w:rsidRDefault="00B442D3" w:rsidP="00B442D3">
      <w:pPr>
        <w:tabs>
          <w:tab w:val="left" w:pos="2160"/>
          <w:tab w:val="left" w:leader="dot" w:pos="7920"/>
        </w:tabs>
        <w:ind w:left="1416" w:hanging="1416"/>
        <w:jc w:val="both"/>
      </w:pPr>
      <w:r>
        <w:t>Bankovní spojení:</w:t>
      </w:r>
      <w:r>
        <w:tab/>
        <w:t>Československá obchodní banka, a. s., č. účtu:</w:t>
      </w:r>
      <w:r w:rsidR="00420314">
        <w:t xml:space="preserve"> 315475123/0300</w:t>
      </w:r>
      <w:r>
        <w:t xml:space="preserve">  </w:t>
      </w:r>
    </w:p>
    <w:p w:rsidR="00B442D3" w:rsidRDefault="00B442D3" w:rsidP="00B442D3">
      <w:pPr>
        <w:tabs>
          <w:tab w:val="left" w:pos="2160"/>
          <w:tab w:val="left" w:leader="dot" w:pos="7920"/>
        </w:tabs>
        <w:ind w:left="1416" w:hanging="1416"/>
        <w:jc w:val="both"/>
      </w:pPr>
      <w:r>
        <w:t>E-mail:</w:t>
      </w:r>
      <w:r>
        <w:tab/>
      </w:r>
      <w:r>
        <w:tab/>
        <w:t>reditelna@zsprosetice.cz</w:t>
      </w:r>
    </w:p>
    <w:p w:rsidR="00B442D3" w:rsidRPr="00B442D3" w:rsidRDefault="00B442D3" w:rsidP="00B442D3">
      <w:pPr>
        <w:tabs>
          <w:tab w:val="left" w:pos="2160"/>
          <w:tab w:val="left" w:leader="dot" w:pos="7920"/>
        </w:tabs>
        <w:jc w:val="both"/>
      </w:pPr>
      <w:r w:rsidRPr="00B442D3">
        <w:t>(dále jen Objednatel)</w:t>
      </w:r>
    </w:p>
    <w:p w:rsidR="00B442D3" w:rsidRPr="00B442D3" w:rsidRDefault="00B442D3" w:rsidP="00B442D3">
      <w:pPr>
        <w:jc w:val="both"/>
      </w:pPr>
    </w:p>
    <w:p w:rsidR="00B442D3" w:rsidRPr="00B442D3" w:rsidRDefault="00B442D3" w:rsidP="00B442D3">
      <w:pPr>
        <w:jc w:val="both"/>
      </w:pPr>
      <w:r>
        <w:t>u</w:t>
      </w:r>
      <w:r w:rsidRPr="00B442D3">
        <w:t>zavírají tento dodatek č. 1 ke smlouvě o dílo shora specifikované (dále též jen „Dodatek“):</w:t>
      </w:r>
    </w:p>
    <w:p w:rsidR="00B442D3" w:rsidRDefault="00B442D3" w:rsidP="00B442D3">
      <w:pPr>
        <w:jc w:val="both"/>
      </w:pPr>
    </w:p>
    <w:p w:rsidR="00B442D3" w:rsidRDefault="00B442D3" w:rsidP="00B442D3">
      <w:pPr>
        <w:jc w:val="center"/>
        <w:rPr>
          <w:b/>
        </w:rPr>
      </w:pPr>
      <w:r>
        <w:rPr>
          <w:b/>
        </w:rPr>
        <w:t>Článek I.</w:t>
      </w:r>
    </w:p>
    <w:p w:rsidR="00B442D3" w:rsidRDefault="00B442D3" w:rsidP="00B442D3">
      <w:pPr>
        <w:jc w:val="center"/>
        <w:rPr>
          <w:b/>
        </w:rPr>
      </w:pPr>
      <w:r>
        <w:rPr>
          <w:b/>
        </w:rPr>
        <w:t>Preambule</w:t>
      </w:r>
    </w:p>
    <w:p w:rsidR="000411E9" w:rsidRDefault="000411E9" w:rsidP="00B442D3">
      <w:pPr>
        <w:jc w:val="center"/>
        <w:rPr>
          <w:b/>
        </w:rPr>
      </w:pPr>
    </w:p>
    <w:p w:rsidR="00B442D3" w:rsidRDefault="00B442D3" w:rsidP="001C14CD">
      <w:pPr>
        <w:jc w:val="both"/>
      </w:pPr>
      <w:r>
        <w:t>Smluvní strany uzavřely na základ</w:t>
      </w:r>
      <w:r w:rsidR="00420314">
        <w:t>ě</w:t>
      </w:r>
      <w:r>
        <w:t xml:space="preserve"> zadávacího řízení ve smyslu zákona č. 137/2006 Sb., o veřejných zakázkách, dne 27. 7. 2016 podle § 2586 zákona č. 89/2012 Sb., občanský zákoník, smlouvu o dílo (dále též jen „Smlouva o dílo“), jejímž předmětem je </w:t>
      </w:r>
      <w:r w:rsidR="000411E9">
        <w:t xml:space="preserve">„Montáž podlahových krytin: pokládka a montáž PVC, nabídka č. 16NA00122 a provedení souvisejících prací (demontáž a likvidace stávajícího PVC, příprava podkladů </w:t>
      </w:r>
      <w:proofErr w:type="spellStart"/>
      <w:r w:rsidR="000411E9">
        <w:t>stěrkováním</w:t>
      </w:r>
      <w:proofErr w:type="spellEnd"/>
      <w:r w:rsidR="000411E9">
        <w:t>, montáž podlahových lišt).</w:t>
      </w:r>
    </w:p>
    <w:p w:rsidR="001C14CD" w:rsidRDefault="001C14CD" w:rsidP="001C14CD">
      <w:pPr>
        <w:jc w:val="both"/>
      </w:pPr>
    </w:p>
    <w:p w:rsidR="000411E9" w:rsidRDefault="000411E9" w:rsidP="001C14CD">
      <w:pPr>
        <w:jc w:val="both"/>
      </w:pPr>
      <w:r>
        <w:t>V důsledku objektivně nepředvídaných okolností vyvstala potřeba dodatečných prací, které nebyly obsaženy v původních zadávacích podmínkách, tedy ani ve Smlouvě o dílo, a tyto dodatečné práce jsou zároveň nezbytné pro provedení původních prací podle Smlouvy o dílo.</w:t>
      </w:r>
    </w:p>
    <w:p w:rsidR="000411E9" w:rsidRDefault="000411E9" w:rsidP="000411E9">
      <w:pPr>
        <w:pStyle w:val="Odstavecseseznamem"/>
        <w:ind w:left="360"/>
        <w:jc w:val="both"/>
      </w:pPr>
    </w:p>
    <w:p w:rsidR="000411E9" w:rsidRDefault="000411E9" w:rsidP="001C14CD">
      <w:pPr>
        <w:jc w:val="both"/>
      </w:pPr>
      <w:r>
        <w:t>Dodatečné práce podle předchozího odstavce nemohou být technicky nebo ekonomicky odděleny od původní veřejné zakázky, aniž by toto oddělení způsobilo závažnou újmu zadavateli, nebo ačkoliv je toto oddělení techniky či ekonomicky možné, jsou tyto dodatečné práce zcela nezbytné pro dokončení předmětu původní veřejné zakázky.</w:t>
      </w:r>
    </w:p>
    <w:p w:rsidR="000411E9" w:rsidRDefault="000411E9" w:rsidP="000411E9">
      <w:pPr>
        <w:jc w:val="both"/>
      </w:pPr>
    </w:p>
    <w:p w:rsidR="000411E9" w:rsidRDefault="000411E9" w:rsidP="000411E9">
      <w:pPr>
        <w:jc w:val="both"/>
      </w:pPr>
    </w:p>
    <w:p w:rsidR="001C14CD" w:rsidRDefault="001C14CD" w:rsidP="000411E9">
      <w:pPr>
        <w:jc w:val="both"/>
      </w:pPr>
    </w:p>
    <w:p w:rsidR="00B469AD" w:rsidRDefault="00B469AD" w:rsidP="000411E9">
      <w:pPr>
        <w:jc w:val="both"/>
      </w:pPr>
    </w:p>
    <w:p w:rsidR="000411E9" w:rsidRDefault="000411E9" w:rsidP="000411E9">
      <w:pPr>
        <w:jc w:val="center"/>
        <w:rPr>
          <w:b/>
        </w:rPr>
      </w:pPr>
      <w:r>
        <w:rPr>
          <w:b/>
        </w:rPr>
        <w:lastRenderedPageBreak/>
        <w:t>Článek II.</w:t>
      </w:r>
    </w:p>
    <w:p w:rsidR="000411E9" w:rsidRDefault="000411E9" w:rsidP="000411E9">
      <w:pPr>
        <w:jc w:val="center"/>
        <w:rPr>
          <w:b/>
        </w:rPr>
      </w:pPr>
      <w:r>
        <w:rPr>
          <w:b/>
        </w:rPr>
        <w:t>Předmět dodatku</w:t>
      </w:r>
    </w:p>
    <w:p w:rsidR="001C14CD" w:rsidRDefault="001C14CD" w:rsidP="001C14CD">
      <w:pPr>
        <w:jc w:val="both"/>
        <w:rPr>
          <w:b/>
        </w:rPr>
      </w:pPr>
    </w:p>
    <w:p w:rsidR="000411E9" w:rsidRDefault="00A52FC8" w:rsidP="001C14CD">
      <w:pPr>
        <w:jc w:val="both"/>
      </w:pPr>
      <w:r>
        <w:t>P</w:t>
      </w:r>
      <w:r w:rsidR="000411E9">
        <w:t>ředmětem tohoto dodatku je změna Smlouvy o dí</w:t>
      </w:r>
      <w:r w:rsidR="001C14CD">
        <w:t xml:space="preserve">lo, a to úprava předmětu </w:t>
      </w:r>
      <w:proofErr w:type="gramStart"/>
      <w:r w:rsidR="001C14CD">
        <w:t xml:space="preserve">smlouvy </w:t>
      </w:r>
      <w:r w:rsidR="000411E9">
        <w:t xml:space="preserve">o </w:t>
      </w:r>
      <w:r>
        <w:t xml:space="preserve"> </w:t>
      </w:r>
      <w:r w:rsidR="001C14CD">
        <w:t xml:space="preserve">    </w:t>
      </w:r>
      <w:r w:rsidR="000411E9">
        <w:t>vícepráce</w:t>
      </w:r>
      <w:proofErr w:type="gramEnd"/>
      <w:r w:rsidR="000411E9">
        <w:t xml:space="preserve"> a s tím související změna ceny díla</w:t>
      </w:r>
      <w:r>
        <w:t>.</w:t>
      </w:r>
    </w:p>
    <w:p w:rsidR="00A52FC8" w:rsidRDefault="00A52FC8" w:rsidP="00A52FC8">
      <w:pPr>
        <w:jc w:val="both"/>
      </w:pPr>
    </w:p>
    <w:p w:rsidR="00A52FC8" w:rsidRDefault="00A52FC8" w:rsidP="001C14CD">
      <w:pPr>
        <w:jc w:val="both"/>
      </w:pPr>
      <w:r>
        <w:t>Smluvní strany se dohodly na úpravě předmětu Smlouvy o dílo o vícepráce</w:t>
      </w:r>
      <w:r w:rsidR="00D45652">
        <w:t>, a to odbroušení nesoudržného podkladu a opravy 2 složkovou penetrací (Příloha č. 1 – 16NA00247).</w:t>
      </w:r>
    </w:p>
    <w:p w:rsidR="001C14CD" w:rsidRDefault="001C14CD" w:rsidP="001C14CD">
      <w:pPr>
        <w:jc w:val="both"/>
      </w:pPr>
    </w:p>
    <w:p w:rsidR="00D45652" w:rsidRDefault="00D45652" w:rsidP="001C14CD">
      <w:pPr>
        <w:jc w:val="both"/>
      </w:pPr>
      <w:r>
        <w:t>V souvislosti s úpravou předmětu Smlouvy o dílo se smluvní strany dohodly na úpravě ceny díla v rozsahu prací podrobně specifikovaných v příloze č. 1 Dodatku. Celková cena díla zahrnující vícepráce specifikované tímto Dodatkem se navyšuje o 22.799 Kč s DPH.</w:t>
      </w:r>
    </w:p>
    <w:p w:rsidR="00D45652" w:rsidRDefault="00D45652" w:rsidP="00A52FC8">
      <w:pPr>
        <w:jc w:val="both"/>
      </w:pPr>
    </w:p>
    <w:p w:rsidR="00D45652" w:rsidRDefault="00D45652" w:rsidP="001C14CD">
      <w:pPr>
        <w:jc w:val="both"/>
      </w:pPr>
      <w:r>
        <w:t>Cena za vícepráce bude uhrazena po dokončení celého díla na základě samostatně vystavené faktury se splatností do 30. 11. 2016.</w:t>
      </w:r>
    </w:p>
    <w:p w:rsidR="00D45652" w:rsidRDefault="00D45652" w:rsidP="00A52FC8">
      <w:pPr>
        <w:jc w:val="both"/>
      </w:pPr>
    </w:p>
    <w:p w:rsidR="00D45652" w:rsidRDefault="00D45652" w:rsidP="00D45652">
      <w:pPr>
        <w:jc w:val="center"/>
        <w:rPr>
          <w:b/>
        </w:rPr>
      </w:pPr>
      <w:r>
        <w:rPr>
          <w:b/>
        </w:rPr>
        <w:t>Článek III.</w:t>
      </w:r>
    </w:p>
    <w:p w:rsidR="00D45652" w:rsidRDefault="00D45652" w:rsidP="00D45652">
      <w:pPr>
        <w:jc w:val="center"/>
        <w:rPr>
          <w:b/>
        </w:rPr>
      </w:pPr>
      <w:r>
        <w:rPr>
          <w:b/>
        </w:rPr>
        <w:t>Závěrečná ustanovení</w:t>
      </w:r>
    </w:p>
    <w:p w:rsidR="001C14CD" w:rsidRDefault="001C14CD" w:rsidP="00D45652">
      <w:pPr>
        <w:jc w:val="center"/>
        <w:rPr>
          <w:b/>
        </w:rPr>
      </w:pPr>
    </w:p>
    <w:p w:rsidR="00D45652" w:rsidRDefault="00D45652" w:rsidP="00D45652">
      <w:pPr>
        <w:jc w:val="both"/>
      </w:pPr>
      <w:r>
        <w:t>Ostatní ustanovení Smlouvy o dílo zůstávají v platnosti a účinnosti.</w:t>
      </w:r>
    </w:p>
    <w:p w:rsidR="00D45652" w:rsidRDefault="00D45652" w:rsidP="00D45652">
      <w:pPr>
        <w:jc w:val="both"/>
      </w:pPr>
    </w:p>
    <w:p w:rsidR="00D45652" w:rsidRDefault="00D45652" w:rsidP="00D45652">
      <w:pPr>
        <w:jc w:val="both"/>
      </w:pPr>
      <w:r>
        <w:t>Tento Dodatek včetně jeho přílohy č. 1 tvoří úplnou dohodu mezi smluvními stranami ohledně předmětu Dodatku.</w:t>
      </w:r>
    </w:p>
    <w:p w:rsidR="00D45652" w:rsidRDefault="00D45652" w:rsidP="00D45652">
      <w:pPr>
        <w:jc w:val="both"/>
      </w:pPr>
    </w:p>
    <w:p w:rsidR="00D45652" w:rsidRDefault="00D45652" w:rsidP="00D45652">
      <w:pPr>
        <w:jc w:val="both"/>
      </w:pPr>
      <w:r>
        <w:t>Tento Dodatek je vyhotoven ve dvojím vyhotovení, přičemž každá ze smluvních stran obdrží jedno vyhotovení.</w:t>
      </w:r>
    </w:p>
    <w:p w:rsidR="00D45652" w:rsidRDefault="00D45652" w:rsidP="00D45652">
      <w:pPr>
        <w:jc w:val="both"/>
      </w:pPr>
    </w:p>
    <w:p w:rsidR="00D45652" w:rsidRDefault="00D45652" w:rsidP="00D45652">
      <w:pPr>
        <w:jc w:val="both"/>
      </w:pPr>
      <w:r>
        <w:t>Tento Dodatek nabývá platnosti a účinnosti dnem jeho podpisu oběma smluvními stranami.</w:t>
      </w:r>
    </w:p>
    <w:p w:rsidR="00D45652" w:rsidRDefault="00D45652" w:rsidP="00D45652">
      <w:pPr>
        <w:jc w:val="both"/>
      </w:pPr>
    </w:p>
    <w:p w:rsidR="00D45652" w:rsidRDefault="00D45652" w:rsidP="00D45652">
      <w:pPr>
        <w:jc w:val="both"/>
      </w:pPr>
      <w:r>
        <w:t>Nedílnou součástí tohoto Dodatku je příloha č. 1.</w:t>
      </w:r>
    </w:p>
    <w:p w:rsidR="001C14CD" w:rsidRDefault="001C14CD" w:rsidP="00D45652">
      <w:pPr>
        <w:jc w:val="both"/>
      </w:pPr>
    </w:p>
    <w:p w:rsidR="001C14CD" w:rsidRDefault="001C14CD" w:rsidP="00D45652">
      <w:pPr>
        <w:jc w:val="both"/>
        <w:rPr>
          <w:b/>
        </w:rPr>
      </w:pPr>
      <w:r>
        <w:rPr>
          <w:b/>
        </w:rPr>
        <w:t>Přílohy:</w:t>
      </w:r>
    </w:p>
    <w:p w:rsidR="001C14CD" w:rsidRDefault="001C14CD" w:rsidP="001C14CD">
      <w:pPr>
        <w:tabs>
          <w:tab w:val="left" w:leader="dot" w:pos="3060"/>
          <w:tab w:val="left" w:leader="dot" w:pos="5940"/>
        </w:tabs>
        <w:jc w:val="both"/>
        <w:rPr>
          <w:rFonts w:ascii="Arial" w:hAnsi="Arial" w:cs="Arial"/>
          <w:sz w:val="20"/>
        </w:rPr>
      </w:pPr>
    </w:p>
    <w:p w:rsidR="001C14CD" w:rsidRPr="001C14CD" w:rsidRDefault="001C14CD" w:rsidP="001C14CD">
      <w:pPr>
        <w:jc w:val="both"/>
      </w:pPr>
      <w:r w:rsidRPr="001C14CD">
        <w:t>Nabídka</w:t>
      </w:r>
      <w:r>
        <w:t xml:space="preserve"> </w:t>
      </w:r>
      <w:r w:rsidRPr="001C14CD">
        <w:t>specifikace č. 16NA00247</w:t>
      </w:r>
    </w:p>
    <w:p w:rsidR="00D45652" w:rsidRDefault="00D45652" w:rsidP="00D45652">
      <w:pPr>
        <w:jc w:val="both"/>
      </w:pPr>
    </w:p>
    <w:p w:rsidR="00D45652" w:rsidRDefault="00D45652" w:rsidP="00D45652">
      <w:pPr>
        <w:jc w:val="both"/>
      </w:pPr>
    </w:p>
    <w:p w:rsidR="00D45652" w:rsidRDefault="00D45652" w:rsidP="00D45652">
      <w:pPr>
        <w:jc w:val="both"/>
        <w:rPr>
          <w:b/>
        </w:rPr>
      </w:pPr>
    </w:p>
    <w:p w:rsidR="00D45652" w:rsidRDefault="00D45652" w:rsidP="00D45652">
      <w:pPr>
        <w:jc w:val="both"/>
      </w:pPr>
      <w:r>
        <w:t>V Teplicích dne</w:t>
      </w:r>
      <w:r>
        <w:tab/>
      </w:r>
      <w:r>
        <w:tab/>
      </w:r>
      <w:r>
        <w:tab/>
      </w:r>
      <w:r>
        <w:tab/>
      </w:r>
      <w:r>
        <w:tab/>
        <w:t>V Teplicích dne</w:t>
      </w:r>
    </w:p>
    <w:p w:rsidR="00D45652" w:rsidRDefault="00D45652" w:rsidP="00D45652">
      <w:pPr>
        <w:jc w:val="both"/>
      </w:pPr>
    </w:p>
    <w:p w:rsidR="00D45652" w:rsidRDefault="00D45652" w:rsidP="00D45652">
      <w:pPr>
        <w:jc w:val="both"/>
      </w:pPr>
    </w:p>
    <w:p w:rsidR="00D45652" w:rsidRDefault="00D45652" w:rsidP="00D45652">
      <w:pPr>
        <w:jc w:val="both"/>
      </w:pPr>
    </w:p>
    <w:p w:rsidR="00D45652" w:rsidRDefault="00D45652" w:rsidP="00D45652">
      <w:pPr>
        <w:jc w:val="both"/>
      </w:pPr>
    </w:p>
    <w:p w:rsidR="00D45652" w:rsidRDefault="00D45652" w:rsidP="00D45652">
      <w:pPr>
        <w:jc w:val="both"/>
      </w:pPr>
      <w:r>
        <w:t>Ladislav Branda</w:t>
      </w:r>
      <w:r w:rsidR="001C14CD">
        <w:tab/>
      </w:r>
      <w:r w:rsidR="001C14CD">
        <w:tab/>
      </w:r>
      <w:r w:rsidR="001C14CD">
        <w:tab/>
      </w:r>
      <w:r w:rsidR="001C14CD">
        <w:tab/>
      </w:r>
      <w:r w:rsidR="001C14CD">
        <w:tab/>
        <w:t>Mgr. Marcela Prokůpková</w:t>
      </w:r>
    </w:p>
    <w:p w:rsidR="00D45652" w:rsidRDefault="00D45652" w:rsidP="00D45652">
      <w:pPr>
        <w:jc w:val="both"/>
      </w:pPr>
      <w:r>
        <w:t xml:space="preserve">jednatel </w:t>
      </w:r>
      <w:r w:rsidR="001C14CD">
        <w:t>společnosti</w:t>
      </w:r>
      <w:r w:rsidR="001C14CD">
        <w:tab/>
      </w:r>
      <w:r w:rsidR="001C14CD">
        <w:tab/>
      </w:r>
      <w:r w:rsidR="001C14CD">
        <w:tab/>
      </w:r>
      <w:r w:rsidR="001C14CD">
        <w:tab/>
      </w:r>
      <w:r w:rsidR="001C14CD">
        <w:tab/>
        <w:t>ředitelka školy</w:t>
      </w:r>
    </w:p>
    <w:p w:rsidR="001C14CD" w:rsidRPr="00D45652" w:rsidRDefault="001C14CD" w:rsidP="00D45652">
      <w:pPr>
        <w:jc w:val="both"/>
      </w:pPr>
      <w:r>
        <w:t>zhotovitel</w:t>
      </w:r>
      <w:r>
        <w:tab/>
      </w:r>
      <w:r>
        <w:tab/>
      </w:r>
      <w:r>
        <w:tab/>
      </w:r>
      <w:r>
        <w:tab/>
      </w:r>
      <w:r>
        <w:tab/>
      </w:r>
      <w:r>
        <w:tab/>
        <w:t>objednatel</w:t>
      </w:r>
    </w:p>
    <w:p w:rsidR="00D45652" w:rsidRPr="00D45652" w:rsidRDefault="00D45652" w:rsidP="00D45652">
      <w:pPr>
        <w:pStyle w:val="Odstavecseseznamem"/>
        <w:jc w:val="both"/>
      </w:pPr>
    </w:p>
    <w:p w:rsidR="00D45652" w:rsidRDefault="00D45652" w:rsidP="00D45652">
      <w:pPr>
        <w:jc w:val="both"/>
      </w:pPr>
    </w:p>
    <w:p w:rsidR="00D45652" w:rsidRPr="00D45652" w:rsidRDefault="00D45652" w:rsidP="00D45652">
      <w:pPr>
        <w:jc w:val="both"/>
      </w:pPr>
    </w:p>
    <w:p w:rsidR="000411E9" w:rsidRPr="000411E9" w:rsidRDefault="000411E9" w:rsidP="000411E9">
      <w:pPr>
        <w:jc w:val="center"/>
        <w:rPr>
          <w:b/>
        </w:rPr>
      </w:pPr>
    </w:p>
    <w:p w:rsidR="00B442D3" w:rsidRPr="00B442D3" w:rsidRDefault="00B442D3"/>
    <w:sectPr w:rsidR="00B442D3" w:rsidRPr="00B442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06974"/>
    <w:multiLevelType w:val="multilevel"/>
    <w:tmpl w:val="C0D41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B34B4C"/>
    <w:multiLevelType w:val="hybridMultilevel"/>
    <w:tmpl w:val="2340AC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F0405E"/>
    <w:multiLevelType w:val="multilevel"/>
    <w:tmpl w:val="C0D41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CC4AE0"/>
    <w:multiLevelType w:val="hybridMultilevel"/>
    <w:tmpl w:val="83BA1C4E"/>
    <w:lvl w:ilvl="0" w:tplc="F4EC9C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6870A89"/>
    <w:multiLevelType w:val="hybridMultilevel"/>
    <w:tmpl w:val="9C82CE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C5B3D30"/>
    <w:multiLevelType w:val="multilevel"/>
    <w:tmpl w:val="C0D41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C61056"/>
    <w:multiLevelType w:val="multilevel"/>
    <w:tmpl w:val="C0D41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6B8410B"/>
    <w:multiLevelType w:val="hybridMultilevel"/>
    <w:tmpl w:val="00980F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355334"/>
    <w:multiLevelType w:val="multilevel"/>
    <w:tmpl w:val="C0D41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A77407"/>
    <w:multiLevelType w:val="hybridMultilevel"/>
    <w:tmpl w:val="0BBEBA4A"/>
    <w:lvl w:ilvl="0" w:tplc="31B44CD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53F6810"/>
    <w:multiLevelType w:val="multilevel"/>
    <w:tmpl w:val="C0D41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C8D7E2C"/>
    <w:multiLevelType w:val="hybridMultilevel"/>
    <w:tmpl w:val="7F7AE6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2"/>
  </w:num>
  <w:num w:numId="5">
    <w:abstractNumId w:val="10"/>
  </w:num>
  <w:num w:numId="6">
    <w:abstractNumId w:val="5"/>
  </w:num>
  <w:num w:numId="7">
    <w:abstractNumId w:val="3"/>
  </w:num>
  <w:num w:numId="8">
    <w:abstractNumId w:val="4"/>
  </w:num>
  <w:num w:numId="9">
    <w:abstractNumId w:val="11"/>
  </w:num>
  <w:num w:numId="10">
    <w:abstractNumId w:val="7"/>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2D3"/>
    <w:rsid w:val="000411E9"/>
    <w:rsid w:val="001C14CD"/>
    <w:rsid w:val="002847FA"/>
    <w:rsid w:val="00420314"/>
    <w:rsid w:val="00725382"/>
    <w:rsid w:val="00A52FC8"/>
    <w:rsid w:val="00B442D3"/>
    <w:rsid w:val="00B469AD"/>
    <w:rsid w:val="00D456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5724F-DCCE-4201-9B7A-31F991A94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42D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B442D3"/>
    <w:pPr>
      <w:jc w:val="center"/>
    </w:pPr>
    <w:rPr>
      <w:rFonts w:ascii="Arial" w:hAnsi="Arial" w:cs="Arial"/>
      <w:b/>
      <w:bCs/>
      <w:sz w:val="28"/>
    </w:rPr>
  </w:style>
  <w:style w:type="character" w:customStyle="1" w:styleId="NzevChar">
    <w:name w:val="Název Char"/>
    <w:basedOn w:val="Standardnpsmoodstavce"/>
    <w:link w:val="Nzev"/>
    <w:rsid w:val="00B442D3"/>
    <w:rPr>
      <w:rFonts w:ascii="Arial" w:eastAsia="Times New Roman" w:hAnsi="Arial" w:cs="Arial"/>
      <w:b/>
      <w:bCs/>
      <w:sz w:val="28"/>
      <w:szCs w:val="24"/>
      <w:lang w:eastAsia="cs-CZ"/>
    </w:rPr>
  </w:style>
  <w:style w:type="paragraph" w:styleId="Odstavecseseznamem">
    <w:name w:val="List Paragraph"/>
    <w:basedOn w:val="Normln"/>
    <w:uiPriority w:val="34"/>
    <w:qFormat/>
    <w:rsid w:val="00B44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2824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Pravdis</dc:creator>
  <cp:keywords/>
  <dc:description/>
  <cp:lastModifiedBy>Kancelar</cp:lastModifiedBy>
  <cp:revision>2</cp:revision>
  <dcterms:created xsi:type="dcterms:W3CDTF">2016-11-10T13:11:00Z</dcterms:created>
  <dcterms:modified xsi:type="dcterms:W3CDTF">2016-11-10T13:11:00Z</dcterms:modified>
</cp:coreProperties>
</file>