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910705" w:rsidP="0058440D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xxxx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E354C" w:rsidRDefault="00910705" w:rsidP="006E35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132FC1">
        <w:rPr>
          <w:rFonts w:ascii="Arial" w:hAnsi="Arial" w:cs="Arial"/>
          <w:b/>
          <w:color w:val="000000"/>
          <w:spacing w:val="-3"/>
        </w:rPr>
        <w:t>4</w:t>
      </w:r>
      <w:r w:rsidR="0058440D">
        <w:rPr>
          <w:rFonts w:ascii="Arial" w:hAnsi="Arial" w:cs="Arial"/>
          <w:b/>
          <w:color w:val="000000"/>
          <w:spacing w:val="-3"/>
        </w:rPr>
        <w:t>46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132FC1">
        <w:rPr>
          <w:rFonts w:ascii="Arial" w:hAnsi="Arial" w:cs="Arial"/>
          <w:b/>
          <w:color w:val="000000"/>
          <w:spacing w:val="-3"/>
        </w:rPr>
        <w:t>7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132FC1">
        <w:rPr>
          <w:rFonts w:ascii="Arial" w:hAnsi="Arial" w:cs="Arial"/>
          <w:b/>
          <w:color w:val="000000"/>
          <w:spacing w:val="-3"/>
        </w:rPr>
        <w:t>7700100117/1</w:t>
      </w:r>
      <w:r w:rsidR="00EB65DB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="00D21DE4" w:rsidRPr="00A50A7F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A50A7F">
        <w:rPr>
          <w:rFonts w:ascii="Arial" w:hAnsi="Arial" w:cs="Arial"/>
          <w:sz w:val="22"/>
          <w:szCs w:val="22"/>
        </w:rPr>
        <w:t xml:space="preserve">. </w:t>
      </w:r>
      <w:r w:rsidR="00132FC1">
        <w:rPr>
          <w:rFonts w:ascii="Arial" w:hAnsi="Arial" w:cs="Arial"/>
          <w:sz w:val="22"/>
          <w:szCs w:val="22"/>
        </w:rPr>
        <w:t>1627/2, 1627/5, 1630/7, 1631/5 a 2450, vše</w:t>
      </w:r>
      <w:r w:rsidR="00D21DE4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1DE4" w:rsidRPr="00511057">
        <w:rPr>
          <w:rFonts w:ascii="Arial" w:hAnsi="Arial" w:cs="Arial"/>
          <w:sz w:val="22"/>
          <w:szCs w:val="22"/>
        </w:rPr>
        <w:t xml:space="preserve">. </w:t>
      </w:r>
      <w:r w:rsidR="00917068">
        <w:rPr>
          <w:rFonts w:ascii="Arial" w:hAnsi="Arial" w:cs="Arial"/>
          <w:sz w:val="22"/>
          <w:szCs w:val="22"/>
        </w:rPr>
        <w:t>Jablonec nad Nisou</w:t>
      </w:r>
      <w:r w:rsidR="00D21DE4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D21DE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20A30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0A30" w:rsidRPr="00511057">
        <w:rPr>
          <w:rFonts w:ascii="Arial" w:hAnsi="Arial" w:cs="Arial"/>
          <w:sz w:val="22"/>
          <w:szCs w:val="22"/>
        </w:rPr>
        <w:t xml:space="preserve">. </w:t>
      </w:r>
      <w:r w:rsidR="00A87A10">
        <w:rPr>
          <w:rFonts w:ascii="Arial" w:hAnsi="Arial" w:cs="Arial"/>
          <w:sz w:val="22"/>
          <w:szCs w:val="22"/>
        </w:rPr>
        <w:t>Jablonec nad Nisou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ech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MS </w:t>
      </w:r>
      <w:r w:rsidR="009F4E76" w:rsidRPr="00FF6CBA">
        <w:rPr>
          <w:rFonts w:ascii="Arial" w:hAnsi="Arial" w:cs="Arial"/>
          <w:b/>
          <w:sz w:val="22"/>
          <w:szCs w:val="22"/>
        </w:rPr>
        <w:t>Jablonec nad Nisou</w:t>
      </w:r>
      <w:r w:rsidR="00762BDC" w:rsidRPr="00FF6CBA">
        <w:rPr>
          <w:rFonts w:ascii="Arial" w:hAnsi="Arial" w:cs="Arial"/>
          <w:b/>
          <w:sz w:val="22"/>
          <w:szCs w:val="22"/>
        </w:rPr>
        <w:t xml:space="preserve"> – </w:t>
      </w:r>
      <w:r w:rsidR="00132FC1">
        <w:rPr>
          <w:rFonts w:ascii="Arial" w:hAnsi="Arial" w:cs="Arial"/>
          <w:b/>
          <w:sz w:val="22"/>
          <w:szCs w:val="22"/>
        </w:rPr>
        <w:t>Novoveská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 xml:space="preserve">jeho součástí,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 xml:space="preserve">v délce </w:t>
      </w:r>
      <w:r w:rsidR="00270B07">
        <w:rPr>
          <w:rFonts w:ascii="Arial" w:hAnsi="Arial" w:cs="Arial"/>
          <w:bCs/>
          <w:sz w:val="22"/>
          <w:szCs w:val="22"/>
        </w:rPr>
        <w:t>146,19 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3C4BF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15E7">
        <w:rPr>
          <w:rFonts w:ascii="Arial" w:hAnsi="Arial" w:cs="Arial"/>
          <w:sz w:val="22"/>
          <w:szCs w:val="22"/>
        </w:rPr>
        <w:t>6091</w:t>
      </w:r>
      <w:r w:rsidR="00EE1122">
        <w:rPr>
          <w:rFonts w:ascii="Arial" w:hAnsi="Arial" w:cs="Arial"/>
          <w:sz w:val="22"/>
          <w:szCs w:val="22"/>
        </w:rPr>
        <w:t>-</w:t>
      </w:r>
      <w:r w:rsidR="00D415E7">
        <w:rPr>
          <w:rFonts w:ascii="Arial" w:hAnsi="Arial" w:cs="Arial"/>
          <w:sz w:val="22"/>
          <w:szCs w:val="22"/>
        </w:rPr>
        <w:t>11476</w:t>
      </w:r>
      <w:r w:rsidR="00812A1B">
        <w:rPr>
          <w:rFonts w:ascii="Arial" w:hAnsi="Arial" w:cs="Arial"/>
          <w:sz w:val="22"/>
          <w:szCs w:val="22"/>
        </w:rPr>
        <w:t>/201</w:t>
      </w:r>
      <w:r w:rsidR="00D415E7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764341">
        <w:rPr>
          <w:rFonts w:ascii="Arial" w:hAnsi="Arial" w:cs="Arial"/>
          <w:sz w:val="22"/>
          <w:szCs w:val="22"/>
        </w:rPr>
        <w:t>8.</w:t>
      </w:r>
      <w:r w:rsidR="00D415E7">
        <w:rPr>
          <w:rFonts w:ascii="Arial" w:hAnsi="Arial" w:cs="Arial"/>
          <w:sz w:val="22"/>
          <w:szCs w:val="22"/>
        </w:rPr>
        <w:t>11</w:t>
      </w:r>
      <w:r w:rsidR="00764341">
        <w:rPr>
          <w:rFonts w:ascii="Arial" w:hAnsi="Arial" w:cs="Arial"/>
          <w:sz w:val="22"/>
          <w:szCs w:val="22"/>
        </w:rPr>
        <w:t>.</w:t>
      </w:r>
      <w:r w:rsidR="00E773E8">
        <w:rPr>
          <w:rFonts w:ascii="Arial" w:hAnsi="Arial" w:cs="Arial"/>
          <w:sz w:val="22"/>
          <w:szCs w:val="22"/>
        </w:rPr>
        <w:t>201</w:t>
      </w:r>
      <w:r w:rsidR="00D415E7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614E8F">
        <w:rPr>
          <w:rFonts w:ascii="Arial" w:hAnsi="Arial" w:cs="Arial"/>
          <w:sz w:val="22"/>
          <w:szCs w:val="22"/>
        </w:rPr>
        <w:t>GEOŠRAFO, s.r.o.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</w:t>
      </w:r>
      <w:r w:rsidR="00D415E7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Katastrální pracoviště Jablonec nad Nisou dne </w:t>
      </w:r>
      <w:r w:rsidR="00D415E7">
        <w:rPr>
          <w:rFonts w:ascii="Arial" w:hAnsi="Arial" w:cs="Arial"/>
          <w:sz w:val="22"/>
          <w:szCs w:val="22"/>
        </w:rPr>
        <w:t>22</w:t>
      </w:r>
      <w:r w:rsidR="001613D8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11.</w:t>
      </w:r>
      <w:r w:rsidR="00E773E8">
        <w:rPr>
          <w:rFonts w:ascii="Arial" w:hAnsi="Arial" w:cs="Arial"/>
          <w:sz w:val="22"/>
          <w:szCs w:val="22"/>
        </w:rPr>
        <w:t>201</w:t>
      </w:r>
      <w:r w:rsidR="00D415E7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F12902">
        <w:rPr>
          <w:rFonts w:ascii="Arial" w:hAnsi="Arial" w:cs="Arial"/>
          <w:sz w:val="22"/>
          <w:szCs w:val="22"/>
        </w:rPr>
        <w:t>PGP-</w:t>
      </w:r>
      <w:r w:rsidR="00D415E7">
        <w:rPr>
          <w:rFonts w:ascii="Arial" w:hAnsi="Arial" w:cs="Arial"/>
          <w:sz w:val="22"/>
          <w:szCs w:val="22"/>
        </w:rPr>
        <w:t>1178</w:t>
      </w:r>
      <w:r w:rsidR="00E773E8">
        <w:rPr>
          <w:rFonts w:ascii="Arial" w:hAnsi="Arial" w:cs="Arial"/>
          <w:sz w:val="22"/>
          <w:szCs w:val="22"/>
        </w:rPr>
        <w:t>/</w:t>
      </w:r>
      <w:r w:rsidR="004E6BB1">
        <w:rPr>
          <w:rFonts w:ascii="Arial" w:hAnsi="Arial" w:cs="Arial"/>
          <w:sz w:val="22"/>
          <w:szCs w:val="22"/>
        </w:rPr>
        <w:t>201</w:t>
      </w:r>
      <w:r w:rsidR="00D415E7">
        <w:rPr>
          <w:rFonts w:ascii="Arial" w:hAnsi="Arial" w:cs="Arial"/>
          <w:sz w:val="22"/>
          <w:szCs w:val="22"/>
        </w:rPr>
        <w:t>7</w:t>
      </w:r>
      <w:r w:rsidR="004E6BB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tvoří </w:t>
      </w:r>
      <w:r w:rsidR="00D21DE4">
        <w:rPr>
          <w:rFonts w:ascii="Arial" w:hAnsi="Arial" w:cs="Arial"/>
          <w:sz w:val="22"/>
          <w:szCs w:val="22"/>
        </w:rPr>
        <w:t>nedílnou součást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F6CBA" w:rsidRDefault="00FF6CBA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D415E7">
        <w:rPr>
          <w:rFonts w:ascii="Arial" w:hAnsi="Arial" w:cs="Arial"/>
          <w:sz w:val="22"/>
          <w:szCs w:val="22"/>
        </w:rPr>
        <w:t>57</w:t>
      </w:r>
      <w:r w:rsidR="001E16BC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317,50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D415E7">
        <w:rPr>
          <w:rFonts w:ascii="Arial" w:hAnsi="Arial" w:cs="Arial"/>
          <w:sz w:val="22"/>
          <w:szCs w:val="22"/>
        </w:rPr>
        <w:t>12</w:t>
      </w:r>
      <w:r w:rsidR="00B003DA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036,68 Kč</w:t>
      </w:r>
      <w:r w:rsidR="007601B0" w:rsidRPr="00511057">
        <w:rPr>
          <w:rFonts w:ascii="Arial" w:hAnsi="Arial" w:cs="Arial"/>
          <w:sz w:val="22"/>
          <w:szCs w:val="22"/>
        </w:rPr>
        <w:t xml:space="preserve"> DPH, tj. celkem </w:t>
      </w:r>
      <w:r w:rsidR="00D415E7">
        <w:rPr>
          <w:rFonts w:ascii="Arial" w:hAnsi="Arial" w:cs="Arial"/>
          <w:sz w:val="22"/>
          <w:szCs w:val="22"/>
        </w:rPr>
        <w:t>69</w:t>
      </w:r>
      <w:r w:rsidR="000A64BC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354</w:t>
      </w:r>
      <w:r w:rsidR="000A64BC">
        <w:rPr>
          <w:rFonts w:ascii="Arial" w:hAnsi="Arial" w:cs="Arial"/>
          <w:sz w:val="22"/>
          <w:szCs w:val="22"/>
        </w:rPr>
        <w:t>,</w:t>
      </w:r>
      <w:r w:rsidR="00D415E7">
        <w:rPr>
          <w:rFonts w:ascii="Arial" w:hAnsi="Arial" w:cs="Arial"/>
          <w:sz w:val="22"/>
          <w:szCs w:val="22"/>
        </w:rPr>
        <w:t>18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D415E7">
        <w:rPr>
          <w:rFonts w:ascii="Arial" w:hAnsi="Arial" w:cs="Arial"/>
          <w:sz w:val="22"/>
          <w:szCs w:val="22"/>
        </w:rPr>
        <w:t>Šedesátdevěttisíctřistapadesátčtyři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D415E7">
        <w:rPr>
          <w:rFonts w:ascii="Arial" w:hAnsi="Arial" w:cs="Arial"/>
          <w:sz w:val="22"/>
          <w:szCs w:val="22"/>
        </w:rPr>
        <w:t>18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</w:t>
      </w:r>
      <w:r w:rsidR="00350EC6" w:rsidRPr="00511057">
        <w:rPr>
          <w:rFonts w:ascii="Arial" w:hAnsi="Arial" w:cs="Arial"/>
          <w:sz w:val="22"/>
          <w:szCs w:val="22"/>
        </w:rPr>
        <w:lastRenderedPageBreak/>
        <w:t xml:space="preserve">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0A64BC">
        <w:rPr>
          <w:rFonts w:ascii="Arial" w:hAnsi="Arial" w:cs="Arial"/>
          <w:sz w:val="22"/>
          <w:szCs w:val="22"/>
        </w:rPr>
        <w:t>1</w:t>
      </w:r>
      <w:r w:rsidR="00846DF3">
        <w:rPr>
          <w:rFonts w:ascii="Arial" w:hAnsi="Arial" w:cs="Arial"/>
          <w:sz w:val="22"/>
          <w:szCs w:val="22"/>
        </w:rPr>
        <w:t>8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D415E7">
        <w:rPr>
          <w:rFonts w:ascii="Arial" w:hAnsi="Arial" w:cs="Arial"/>
          <w:sz w:val="22"/>
          <w:szCs w:val="22"/>
        </w:rPr>
        <w:t>57.317,50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</w:t>
      </w:r>
      <w:proofErr w:type="gramStart"/>
      <w:r w:rsidRPr="00B4160F">
        <w:rPr>
          <w:rFonts w:ascii="Arial" w:hAnsi="Arial" w:cs="Arial"/>
          <w:sz w:val="22"/>
          <w:szCs w:val="22"/>
        </w:rPr>
        <w:t>21%</w:t>
      </w:r>
      <w:proofErr w:type="gramEnd"/>
      <w:r w:rsidRPr="00B4160F">
        <w:rPr>
          <w:rFonts w:ascii="Arial" w:hAnsi="Arial" w:cs="Arial"/>
          <w:sz w:val="22"/>
          <w:szCs w:val="22"/>
        </w:rPr>
        <w:t xml:space="preserve">, vypočtená daň </w:t>
      </w:r>
      <w:r w:rsidR="00D415E7">
        <w:rPr>
          <w:rFonts w:ascii="Arial" w:hAnsi="Arial" w:cs="Arial"/>
          <w:sz w:val="22"/>
          <w:szCs w:val="22"/>
        </w:rPr>
        <w:t>12</w:t>
      </w:r>
      <w:r w:rsidR="000408FB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036,68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D415E7">
        <w:rPr>
          <w:rFonts w:ascii="Arial" w:hAnsi="Arial" w:cs="Arial"/>
          <w:sz w:val="22"/>
          <w:szCs w:val="22"/>
        </w:rPr>
        <w:t>69</w:t>
      </w:r>
      <w:r w:rsidR="000408FB">
        <w:rPr>
          <w:rFonts w:ascii="Arial" w:hAnsi="Arial" w:cs="Arial"/>
          <w:sz w:val="22"/>
          <w:szCs w:val="22"/>
        </w:rPr>
        <w:t>.</w:t>
      </w:r>
      <w:r w:rsidR="00D415E7">
        <w:rPr>
          <w:rFonts w:ascii="Arial" w:hAnsi="Arial" w:cs="Arial"/>
          <w:sz w:val="22"/>
          <w:szCs w:val="22"/>
        </w:rPr>
        <w:t>354,18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 (slovy </w:t>
      </w:r>
      <w:proofErr w:type="spellStart"/>
      <w:r w:rsidR="00D415E7">
        <w:rPr>
          <w:rFonts w:ascii="Arial" w:hAnsi="Arial" w:cs="Arial"/>
          <w:sz w:val="22"/>
          <w:szCs w:val="22"/>
        </w:rPr>
        <w:t>Šedesátdevěttisíctřistapadesátčtyři</w:t>
      </w:r>
      <w:proofErr w:type="spellEnd"/>
      <w:r w:rsidR="00D415E7">
        <w:rPr>
          <w:rFonts w:ascii="Arial" w:hAnsi="Arial" w:cs="Arial"/>
          <w:sz w:val="22"/>
          <w:szCs w:val="22"/>
        </w:rPr>
        <w:t xml:space="preserve"> </w:t>
      </w:r>
      <w:r w:rsidR="00D415E7" w:rsidRPr="00511057">
        <w:rPr>
          <w:rFonts w:ascii="Arial" w:hAnsi="Arial" w:cs="Arial"/>
          <w:sz w:val="22"/>
          <w:szCs w:val="22"/>
        </w:rPr>
        <w:t>korun česk</w:t>
      </w:r>
      <w:r w:rsidR="00D415E7">
        <w:rPr>
          <w:rFonts w:ascii="Arial" w:hAnsi="Arial" w:cs="Arial"/>
          <w:sz w:val="22"/>
          <w:szCs w:val="22"/>
        </w:rPr>
        <w:t>ých, 18/100</w:t>
      </w:r>
      <w:r w:rsidRPr="00B4160F">
        <w:rPr>
          <w:rFonts w:ascii="Arial" w:hAnsi="Arial" w:cs="Arial"/>
          <w:sz w:val="22"/>
          <w:szCs w:val="22"/>
        </w:rPr>
        <w:t>). Za</w:t>
      </w:r>
      <w:r w:rsidR="00DC77F4">
        <w:rPr>
          <w:rFonts w:ascii="Arial" w:hAnsi="Arial" w:cs="Arial"/>
          <w:sz w:val="22"/>
          <w:szCs w:val="22"/>
        </w:rPr>
        <w:t> </w:t>
      </w:r>
      <w:r w:rsidRPr="00B4160F">
        <w:rPr>
          <w:rFonts w:ascii="Arial" w:hAnsi="Arial" w:cs="Arial"/>
          <w:sz w:val="22"/>
          <w:szCs w:val="22"/>
        </w:rPr>
        <w:t>datum vystavení daňového dokladu a datum zdanitelného plnění se považuje datum uzavření této smlouvy.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FF6CBA" w:rsidRDefault="00FF6CBA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 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</w:t>
      </w:r>
      <w:proofErr w:type="spellStart"/>
      <w:r w:rsidRPr="00511057">
        <w:rPr>
          <w:rFonts w:ascii="Arial" w:hAnsi="Arial" w:cs="Arial"/>
          <w:sz w:val="22"/>
          <w:szCs w:val="22"/>
        </w:rPr>
        <w:t>k.ú</w:t>
      </w:r>
      <w:proofErr w:type="spellEnd"/>
      <w:r w:rsidRPr="00511057">
        <w:rPr>
          <w:rFonts w:ascii="Arial" w:hAnsi="Arial" w:cs="Arial"/>
          <w:sz w:val="22"/>
          <w:szCs w:val="22"/>
        </w:rPr>
        <w:t xml:space="preserve">. </w:t>
      </w:r>
      <w:r w:rsidR="00DE04B1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</w:t>
      </w:r>
      <w:r>
        <w:rPr>
          <w:rFonts w:ascii="Arial" w:hAnsi="Arial" w:cs="Arial"/>
          <w:snapToGrid w:val="0"/>
          <w:sz w:val="22"/>
          <w:szCs w:val="22"/>
        </w:rPr>
        <w:lastRenderedPageBreak/>
        <w:t>dodatků či změn zveřejní bez zbytečného odkladu v souladu se zák. o registru smluv v příslušném registru smluv strana povinná.</w:t>
      </w:r>
      <w:bookmarkEnd w:id="0"/>
    </w:p>
    <w:p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AE146B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5850A3">
        <w:rPr>
          <w:rFonts w:ascii="Arial" w:hAnsi="Arial" w:cs="Arial"/>
          <w:snapToGrid w:val="0"/>
          <w:sz w:val="22"/>
          <w:szCs w:val="22"/>
        </w:rPr>
        <w:t>9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5850A3">
        <w:rPr>
          <w:rFonts w:ascii="Arial" w:hAnsi="Arial" w:cs="Arial"/>
          <w:snapToGrid w:val="0"/>
          <w:sz w:val="22"/>
          <w:szCs w:val="22"/>
        </w:rPr>
        <w:t>3</w:t>
      </w:r>
      <w:r w:rsidR="00CB2369">
        <w:rPr>
          <w:rFonts w:ascii="Arial" w:hAnsi="Arial" w:cs="Arial"/>
          <w:snapToGrid w:val="0"/>
          <w:sz w:val="22"/>
          <w:szCs w:val="22"/>
        </w:rPr>
        <w:t>.20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5850A3">
        <w:rPr>
          <w:rFonts w:ascii="Arial" w:hAnsi="Arial" w:cs="Arial"/>
          <w:snapToGrid w:val="0"/>
          <w:sz w:val="22"/>
          <w:szCs w:val="22"/>
        </w:rPr>
        <w:t>7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5850A3">
        <w:rPr>
          <w:rFonts w:ascii="Arial" w:hAnsi="Arial" w:cs="Arial"/>
          <w:snapToGrid w:val="0"/>
          <w:sz w:val="22"/>
          <w:szCs w:val="22"/>
        </w:rPr>
        <w:t>61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5850A3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5850A3">
        <w:rPr>
          <w:rFonts w:ascii="Arial" w:hAnsi="Arial" w:cs="Arial"/>
          <w:snapToGrid w:val="0"/>
          <w:sz w:val="22"/>
          <w:szCs w:val="22"/>
        </w:rPr>
        <w:t>2</w:t>
      </w:r>
      <w:r w:rsidR="00755216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napToGrid w:val="0"/>
          <w:sz w:val="22"/>
          <w:szCs w:val="22"/>
        </w:rPr>
        <w:t>V </w:t>
      </w:r>
      <w:r w:rsidRPr="00F44BC0">
        <w:rPr>
          <w:rFonts w:ascii="Arial" w:hAnsi="Arial" w:cs="Arial"/>
          <w:sz w:val="22"/>
          <w:szCs w:val="22"/>
        </w:rPr>
        <w:t>Hradci Králové</w:t>
      </w:r>
      <w:r w:rsidRPr="00F44BC0">
        <w:rPr>
          <w:rFonts w:ascii="Arial" w:hAnsi="Arial" w:cs="Arial"/>
        </w:rPr>
        <w:t xml:space="preserve"> </w:t>
      </w:r>
      <w:r w:rsidRPr="00F44BC0">
        <w:rPr>
          <w:rFonts w:ascii="Arial" w:hAnsi="Arial" w:cs="Arial"/>
          <w:snapToGrid w:val="0"/>
          <w:sz w:val="22"/>
          <w:szCs w:val="22"/>
        </w:rPr>
        <w:t>dne 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V Jablonci nad Nisou dne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910705" w:rsidP="001028F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910705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Pr="00F44BC0" w:rsidRDefault="00910705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:rsidR="00910705" w:rsidRDefault="00910705" w:rsidP="0091070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7268C" w:rsidRPr="00F44BC0" w:rsidRDefault="00F7268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910705" w:rsidP="00F44BC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82E65" w:rsidRDefault="00910705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xxxxx</w:t>
      </w:r>
      <w:bookmarkStart w:id="1" w:name="_GoBack"/>
      <w:bookmarkEnd w:id="1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4159F0" w:rsidRDefault="004159F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FF" w:rsidRDefault="00BB45FF">
      <w:r>
        <w:separator/>
      </w:r>
    </w:p>
  </w:endnote>
  <w:endnote w:type="continuationSeparator" w:id="0">
    <w:p w:rsidR="00BB45FF" w:rsidRDefault="00BB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4E8F">
      <w:rPr>
        <w:noProof/>
      </w:rPr>
      <w:t>2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FF" w:rsidRDefault="00BB45FF">
      <w:r>
        <w:separator/>
      </w:r>
    </w:p>
  </w:footnote>
  <w:footnote w:type="continuationSeparator" w:id="0">
    <w:p w:rsidR="00BB45FF" w:rsidRDefault="00BB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6856"/>
    <w:rsid w:val="00066AAC"/>
    <w:rsid w:val="000704C6"/>
    <w:rsid w:val="00084356"/>
    <w:rsid w:val="000953B3"/>
    <w:rsid w:val="000A268E"/>
    <w:rsid w:val="000A64BC"/>
    <w:rsid w:val="000C364D"/>
    <w:rsid w:val="000C4324"/>
    <w:rsid w:val="000C58C7"/>
    <w:rsid w:val="000D0105"/>
    <w:rsid w:val="000F583C"/>
    <w:rsid w:val="001028FD"/>
    <w:rsid w:val="00104240"/>
    <w:rsid w:val="001068FA"/>
    <w:rsid w:val="0011658D"/>
    <w:rsid w:val="00121BC6"/>
    <w:rsid w:val="00132FC1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5136B"/>
    <w:rsid w:val="0026259E"/>
    <w:rsid w:val="00270B07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429D8"/>
    <w:rsid w:val="00345165"/>
    <w:rsid w:val="00347120"/>
    <w:rsid w:val="00350EC6"/>
    <w:rsid w:val="00383720"/>
    <w:rsid w:val="003A2CE8"/>
    <w:rsid w:val="003C1CB5"/>
    <w:rsid w:val="003C4BFB"/>
    <w:rsid w:val="003E2A30"/>
    <w:rsid w:val="00410299"/>
    <w:rsid w:val="004159F0"/>
    <w:rsid w:val="00421BD6"/>
    <w:rsid w:val="00437310"/>
    <w:rsid w:val="0046543A"/>
    <w:rsid w:val="004672CB"/>
    <w:rsid w:val="004913FD"/>
    <w:rsid w:val="004C0B84"/>
    <w:rsid w:val="004C1E8B"/>
    <w:rsid w:val="004D2988"/>
    <w:rsid w:val="004E6BB1"/>
    <w:rsid w:val="004E7D6A"/>
    <w:rsid w:val="004F1BF9"/>
    <w:rsid w:val="00502AA5"/>
    <w:rsid w:val="00510EDD"/>
    <w:rsid w:val="00511057"/>
    <w:rsid w:val="00522FF0"/>
    <w:rsid w:val="00530557"/>
    <w:rsid w:val="00537056"/>
    <w:rsid w:val="005522F7"/>
    <w:rsid w:val="005712BB"/>
    <w:rsid w:val="0058440D"/>
    <w:rsid w:val="005850A3"/>
    <w:rsid w:val="00585C3D"/>
    <w:rsid w:val="005A08F8"/>
    <w:rsid w:val="005A33F7"/>
    <w:rsid w:val="005B4B21"/>
    <w:rsid w:val="005D0BD9"/>
    <w:rsid w:val="005E23AC"/>
    <w:rsid w:val="005F5A5A"/>
    <w:rsid w:val="00603630"/>
    <w:rsid w:val="0060623E"/>
    <w:rsid w:val="00614E8F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46DF3"/>
    <w:rsid w:val="00853E06"/>
    <w:rsid w:val="0085584B"/>
    <w:rsid w:val="00856C75"/>
    <w:rsid w:val="00874F14"/>
    <w:rsid w:val="008A7169"/>
    <w:rsid w:val="008B5E50"/>
    <w:rsid w:val="008C2EB2"/>
    <w:rsid w:val="008C6C13"/>
    <w:rsid w:val="008D0A75"/>
    <w:rsid w:val="008D5E41"/>
    <w:rsid w:val="008D7EDA"/>
    <w:rsid w:val="008F0479"/>
    <w:rsid w:val="008F3500"/>
    <w:rsid w:val="00910705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70CD0"/>
    <w:rsid w:val="009A659F"/>
    <w:rsid w:val="009B7CE2"/>
    <w:rsid w:val="009D496A"/>
    <w:rsid w:val="009E10B2"/>
    <w:rsid w:val="009F11E5"/>
    <w:rsid w:val="009F4E76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E0E4C"/>
    <w:rsid w:val="00AE146B"/>
    <w:rsid w:val="00AF4B4B"/>
    <w:rsid w:val="00AF73E2"/>
    <w:rsid w:val="00B003DA"/>
    <w:rsid w:val="00B03600"/>
    <w:rsid w:val="00B116FF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C28F6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4D6C"/>
    <w:rsid w:val="00C665A6"/>
    <w:rsid w:val="00C75002"/>
    <w:rsid w:val="00C84292"/>
    <w:rsid w:val="00C87BA7"/>
    <w:rsid w:val="00C9677B"/>
    <w:rsid w:val="00CB1F85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415E7"/>
    <w:rsid w:val="00D53F28"/>
    <w:rsid w:val="00D54C82"/>
    <w:rsid w:val="00D61577"/>
    <w:rsid w:val="00D86E0A"/>
    <w:rsid w:val="00D87711"/>
    <w:rsid w:val="00DB16B5"/>
    <w:rsid w:val="00DB2228"/>
    <w:rsid w:val="00DB4A0B"/>
    <w:rsid w:val="00DC145F"/>
    <w:rsid w:val="00DC77F4"/>
    <w:rsid w:val="00DD38B7"/>
    <w:rsid w:val="00DD4E54"/>
    <w:rsid w:val="00DE04B1"/>
    <w:rsid w:val="00DE5353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5DB5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785B0C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4AEF0-4119-40F3-A708-78689349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1552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2018-03-14T08:48:00Z</cp:lastPrinted>
  <dcterms:created xsi:type="dcterms:W3CDTF">2018-04-25T06:48:00Z</dcterms:created>
  <dcterms:modified xsi:type="dcterms:W3CDTF">2018-04-25T06:48:00Z</dcterms:modified>
</cp:coreProperties>
</file>