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color w:val="231F20"/>
          <w:sz w:val="28"/>
          <w:szCs w:val="28"/>
        </w:rPr>
        <w:t>SMLOUVA O PŘEPRAVĚ OSOB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Smluvní strany: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1. </w:t>
      </w: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ROYAL BUS s.r.o.</w:t>
      </w:r>
      <w:r w:rsidR="007F6D32"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 xml:space="preserve">, </w:t>
      </w: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Žižkova 1696/15, 586 01 Jihlava</w:t>
      </w:r>
      <w:r w:rsidR="007F6D32"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, I</w:t>
      </w: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Č: 04755022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(dále jen dopravce)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2. </w:t>
      </w: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Jméno:</w:t>
      </w:r>
      <w:r w:rsidR="007F6D32"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 xml:space="preserve"> Gymnázium Jihlava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Adresa (PSČ):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tel: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(dále jen zákazník)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 xml:space="preserve">uzavírají dle ustanovení § 2550 – § 2554 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zákona č. 89/2012 </w:t>
      </w:r>
      <w:r>
        <w:rPr>
          <w:rFonts w:ascii="LiberationSerif" w:hAnsi="LiberationSerif" w:cs="LiberationSerif"/>
          <w:color w:val="231F20"/>
          <w:sz w:val="24"/>
          <w:szCs w:val="24"/>
        </w:rPr>
        <w:t xml:space="preserve">Sb., občanského zákoníku, v aktuálním znění, tuto </w:t>
      </w: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smlouvu o přepravě osob:</w:t>
      </w:r>
    </w:p>
    <w:p w:rsidR="007F6D32" w:rsidRDefault="007F6D32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</w:p>
    <w:p w:rsidR="007F6D32" w:rsidRDefault="007F6D32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Přeprava osob na trase Jihlava – Špindlerův Mlýn a zpět, dne 3. a 7. 9. 2018, cena dopravy 20000,- Kč.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I.</w:t>
      </w:r>
      <w:bookmarkStart w:id="0" w:name="_GoBack"/>
      <w:bookmarkEnd w:id="0"/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Předmět smlouvy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Tato smlouva vymezuje práva a povinnosti zákazníka a dopravce.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Předmětem této smlouvy je provedení nepravidelné přepravy osob během doby sjednané touto smlouvou, podle určení zákazníka a za podmínek v této smlouvě uvedených.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II.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Podmínky přepravy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Dopravce na základě této smlouvy zajistí pro zákazníka přepravu osob, a to do místa určeného zákazníkem.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Jednotlivé přepravy osob budou uskutečňovány na základě jednotlivých objednávek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zákazníka, ve kterých zákazník určí požadované datum, čas a místo přistavení vozidla. Dále zákazník určí přesné místo, kam se přeprava uskuteční.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Na základě přijaté objednávky zajistí dopravce včasné přistavení vozidla a přepravu osob do místa určení.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 xml:space="preserve">Dopravce je povinen provést přepravu v požadované kvalitě, termínu a rozsahu. 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Zákazník se zavazuje poskytovat dopravci veškerou součinnost potřebnou pro plnění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předmětu této smlouvy.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Dopravce prohlašuje, že je plně způsobilý pro provádění přepravy dle této smlouvy a je držitelem všech potřebných oprávnění a provádí přepravu v souladu se všemi právními předpisy.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III.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Trvání smlouvy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Smlouva se sjednává na dobu neurčitou.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Smlouva nabývá platnosti a účinnosti dnem podpisu.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Zákazník je oprávněn odstoupit od této Smlouvy s okamžitou účinností v případě porušení povinností dopravce z této Smlouvy. Toto odstoupení od smlouvy neruší povinnost zákazníka zaplatit za jízdy vykonané do termínu odstoupení od smlouvy, a to způsobem a v termínech stanovených touto Smlouvou.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IV.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lastRenderedPageBreak/>
        <w:t>Cena služeb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Jízdy je uskutečněna za smluvní cenu.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V.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Platební podmínky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 xml:space="preserve">Zákazník je povinen zaplatit za vykonanou přepravu ihned k rukám dopravce, případně uhradit fakturu do </w:t>
      </w:r>
      <w:r w:rsidR="007F6D32">
        <w:rPr>
          <w:rFonts w:ascii="LiberationSerif" w:hAnsi="LiberationSerif" w:cs="LiberationSerif"/>
          <w:color w:val="231F20"/>
          <w:sz w:val="24"/>
          <w:szCs w:val="24"/>
        </w:rPr>
        <w:t>10</w:t>
      </w:r>
      <w:r>
        <w:rPr>
          <w:rFonts w:ascii="LiberationSerif" w:hAnsi="LiberationSerif" w:cs="LiberationSerif"/>
          <w:color w:val="231F20"/>
          <w:sz w:val="24"/>
          <w:szCs w:val="24"/>
        </w:rPr>
        <w:t xml:space="preserve"> dnů.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VI.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231F20"/>
          <w:sz w:val="24"/>
          <w:szCs w:val="24"/>
        </w:rPr>
        <w:t>Závěrečná ustanovení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 xml:space="preserve">Smluvní vztah této smlouvy se řídí ustanoveními o přepravě osob dle § </w:t>
      </w:r>
      <w:r>
        <w:rPr>
          <w:rFonts w:ascii="LiberationSerif" w:hAnsi="LiberationSerif" w:cs="LiberationSerif"/>
          <w:color w:val="000000"/>
          <w:sz w:val="24"/>
          <w:szCs w:val="24"/>
        </w:rPr>
        <w:t>2550 – § 2554 zákona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č. 89/2012 </w:t>
      </w:r>
      <w:r>
        <w:rPr>
          <w:rFonts w:ascii="LiberationSerif" w:hAnsi="LiberationSerif" w:cs="LiberationSerif"/>
          <w:color w:val="231F20"/>
          <w:sz w:val="24"/>
          <w:szCs w:val="24"/>
        </w:rPr>
        <w:t>Sb., občanského zákoníku, v aktuálním znění.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Smlouva je vyhotovena ve dvojím provedení, z něhož každá strana obdrží po jednom výtisku.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 xml:space="preserve">V Jihlavě dne </w:t>
      </w:r>
      <w:r w:rsidR="007F6D32">
        <w:rPr>
          <w:rFonts w:ascii="LiberationSerif" w:hAnsi="LiberationSerif" w:cs="LiberationSerif"/>
          <w:color w:val="231F20"/>
          <w:sz w:val="24"/>
          <w:szCs w:val="24"/>
        </w:rPr>
        <w:t>18. 6. 2018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 xml:space="preserve">Dopravce: ……………………… 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ROYAL BUS s.r.o.</w:t>
      </w: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</w:p>
    <w:p w:rsidR="00366A43" w:rsidRDefault="00366A43" w:rsidP="00366A4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231F20"/>
          <w:sz w:val="24"/>
          <w:szCs w:val="24"/>
        </w:rPr>
      </w:pPr>
      <w:r>
        <w:rPr>
          <w:rFonts w:ascii="LiberationSerif" w:hAnsi="LiberationSerif" w:cs="LiberationSerif"/>
          <w:color w:val="231F20"/>
          <w:sz w:val="24"/>
          <w:szCs w:val="24"/>
        </w:rPr>
        <w:t>Zákazník: ………………………</w:t>
      </w:r>
    </w:p>
    <w:p w:rsidR="00111705" w:rsidRDefault="007F6D32" w:rsidP="00366A43">
      <w:r>
        <w:t xml:space="preserve">Gymnázium </w:t>
      </w:r>
      <w:proofErr w:type="spellStart"/>
      <w:r>
        <w:t>JIhlava</w:t>
      </w:r>
      <w:proofErr w:type="spellEnd"/>
    </w:p>
    <w:sectPr w:rsidR="00111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43"/>
    <w:rsid w:val="00111705"/>
    <w:rsid w:val="00366A43"/>
    <w:rsid w:val="007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1E074-5484-4180-8B4C-08B97422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4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2</cp:revision>
  <dcterms:created xsi:type="dcterms:W3CDTF">2018-06-18T19:04:00Z</dcterms:created>
  <dcterms:modified xsi:type="dcterms:W3CDTF">2018-06-18T19:04:00Z</dcterms:modified>
</cp:coreProperties>
</file>