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242636" w:rsidP="00755364">
      <w:pPr>
        <w:rPr>
          <w:rFonts w:ascii="Arial CE" w:hAnsi="Arial CE" w:cs="Arial"/>
          <w:b/>
          <w:sz w:val="32"/>
          <w:szCs w:val="32"/>
        </w:rPr>
      </w:pPr>
      <w:proofErr w:type="gramStart"/>
      <w:r w:rsidRPr="00072D7B">
        <w:rPr>
          <w:rFonts w:ascii="Arial CE" w:hAnsi="Arial CE" w:cs="Arial"/>
          <w:b/>
          <w:sz w:val="32"/>
          <w:szCs w:val="32"/>
        </w:rPr>
        <w:t>S M L O U V A   O   D Í L O</w:t>
      </w:r>
      <w:proofErr w:type="gramEnd"/>
      <w:r w:rsidRPr="00072D7B">
        <w:rPr>
          <w:rFonts w:ascii="Arial CE" w:hAnsi="Arial CE" w:cs="Arial"/>
          <w:b/>
          <w:sz w:val="32"/>
          <w:szCs w:val="32"/>
        </w:rPr>
        <w:t xml:space="preserve">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371789">
        <w:rPr>
          <w:rFonts w:ascii="Arial CE" w:hAnsi="Arial CE" w:cs="Arial"/>
          <w:b/>
          <w:sz w:val="22"/>
          <w:szCs w:val="22"/>
        </w:rPr>
        <w:tab/>
      </w:r>
      <w:r w:rsidR="00371789">
        <w:rPr>
          <w:rFonts w:ascii="Arial CE" w:hAnsi="Arial CE" w:cs="Arial"/>
          <w:b/>
          <w:sz w:val="22"/>
          <w:szCs w:val="22"/>
        </w:rPr>
        <w:tab/>
        <w:t>627/2018</w:t>
      </w:r>
    </w:p>
    <w:p w:rsidR="00242636" w:rsidRPr="001D7A19" w:rsidRDefault="00242636" w:rsidP="000A6DEF">
      <w:pPr>
        <w:rPr>
          <w:rFonts w:ascii="Arial CE" w:hAnsi="Arial CE" w:cs="Arial"/>
          <w:b/>
          <w:sz w:val="22"/>
          <w:szCs w:val="22"/>
        </w:rPr>
      </w:pPr>
    </w:p>
    <w:p w:rsidR="00A97B34" w:rsidRDefault="00242636" w:rsidP="0083347B">
      <w:pPr>
        <w:pStyle w:val="Export0"/>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
    <w:p w:rsidR="00E25F42" w:rsidRPr="003E0A92" w:rsidRDefault="0083347B" w:rsidP="0083347B">
      <w:pPr>
        <w:pStyle w:val="Export0"/>
        <w:outlineLvl w:val="0"/>
        <w:rPr>
          <w:rFonts w:ascii="Arial" w:hAnsi="Arial" w:cs="Arial"/>
          <w:b/>
          <w:sz w:val="22"/>
          <w:szCs w:val="22"/>
          <w:lang w:val="cs-CZ"/>
        </w:rPr>
      </w:pPr>
      <w:r w:rsidRPr="003E0A92">
        <w:rPr>
          <w:rFonts w:ascii="Arial" w:hAnsi="Arial" w:cs="Arial"/>
          <w:b/>
          <w:sz w:val="22"/>
          <w:szCs w:val="22"/>
          <w:lang w:val="cs-CZ"/>
        </w:rPr>
        <w:t>“</w:t>
      </w:r>
      <w:r w:rsidR="00A97B34" w:rsidRPr="003E0A92">
        <w:rPr>
          <w:rFonts w:ascii="Arial" w:hAnsi="Arial" w:cs="Arial"/>
          <w:b/>
          <w:sz w:val="22"/>
          <w:szCs w:val="22"/>
          <w:lang w:val="cs-CZ"/>
        </w:rPr>
        <w:t>Jez Varnsdorf - sanace průsaků ve středovém pilíři</w:t>
      </w:r>
      <w:r w:rsidR="004E3819" w:rsidRPr="003E0A92">
        <w:rPr>
          <w:rFonts w:ascii="Arial" w:hAnsi="Arial" w:cs="Arial"/>
          <w:b/>
          <w:sz w:val="22"/>
          <w:szCs w:val="22"/>
          <w:lang w:val="cs-CZ"/>
        </w:rPr>
        <w:t>“</w:t>
      </w:r>
      <w:r w:rsidR="003E0A92" w:rsidRPr="003E0A92">
        <w:rPr>
          <w:rFonts w:ascii="Arial" w:hAnsi="Arial" w:cs="Arial"/>
          <w:b/>
          <w:sz w:val="22"/>
          <w:szCs w:val="22"/>
          <w:lang w:val="cs-CZ"/>
        </w:rPr>
        <w:t xml:space="preserve"> </w:t>
      </w:r>
      <w:r w:rsidR="00A97B34" w:rsidRPr="003E0A92">
        <w:rPr>
          <w:rFonts w:ascii="Arial" w:hAnsi="Arial" w:cs="Arial"/>
          <w:b/>
          <w:sz w:val="22"/>
          <w:szCs w:val="22"/>
          <w:lang w:val="cs-CZ"/>
        </w:rPr>
        <w:t>-</w:t>
      </w:r>
      <w:r w:rsidRPr="003E0A92">
        <w:rPr>
          <w:rFonts w:ascii="Arial" w:hAnsi="Arial" w:cs="Arial"/>
          <w:b/>
          <w:sz w:val="22"/>
          <w:szCs w:val="22"/>
          <w:lang w:val="cs-CZ"/>
        </w:rPr>
        <w:t xml:space="preserve"> </w:t>
      </w:r>
      <w:r w:rsidR="004E3819" w:rsidRPr="003E0A92">
        <w:rPr>
          <w:rFonts w:ascii="Arial" w:hAnsi="Arial" w:cs="Arial"/>
          <w:b/>
          <w:sz w:val="22"/>
          <w:szCs w:val="22"/>
          <w:lang w:val="cs-CZ"/>
        </w:rPr>
        <w:t>projektová dokumentace</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Ing. Jiří Nedom</w:t>
      </w:r>
      <w:r w:rsidRPr="0083347B">
        <w:rPr>
          <w:rFonts w:ascii="Arial CE" w:hAnsi="Arial CE" w:cs="Arial"/>
          <w:sz w:val="22"/>
          <w:szCs w:val="22"/>
        </w:rPr>
        <w:t>a</w:t>
      </w:r>
      <w:r w:rsidR="00242636" w:rsidRPr="001D7A19">
        <w:rPr>
          <w:rFonts w:ascii="Arial CE" w:hAnsi="Arial CE" w:cs="Arial"/>
          <w:sz w:val="22"/>
          <w:szCs w:val="22"/>
        </w:rPr>
        <w:t xml:space="preserve">, generálním ředitelem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p>
    <w:p w:rsidR="00242636" w:rsidRDefault="00242636" w:rsidP="000D5A00">
      <w:pPr>
        <w:tabs>
          <w:tab w:val="left" w:pos="3960"/>
        </w:tabs>
        <w:ind w:left="3969" w:hanging="3969"/>
        <w:jc w:val="both"/>
        <w:rPr>
          <w:rFonts w:ascii="Arial CE" w:hAnsi="Arial CE" w:cs="Arial"/>
          <w:b/>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0D5A00" w:rsidRPr="001D7A19" w:rsidRDefault="000D5A00" w:rsidP="000D5A00">
      <w:pPr>
        <w:tabs>
          <w:tab w:val="left" w:pos="3960"/>
        </w:tabs>
        <w:ind w:left="3969" w:hanging="3969"/>
        <w:jc w:val="both"/>
        <w:rPr>
          <w:rFonts w:ascii="Arial CE" w:hAnsi="Arial CE" w:cs="Arial"/>
          <w:b/>
          <w:sz w:val="22"/>
          <w:szCs w:val="22"/>
        </w:rPr>
      </w:pP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A97B34" w:rsidRDefault="000C5921" w:rsidP="000D5A00">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0D5A00" w:rsidRDefault="000D5A00" w:rsidP="000D5A00">
      <w:pPr>
        <w:tabs>
          <w:tab w:val="left" w:pos="3960"/>
        </w:tabs>
        <w:autoSpaceDE w:val="0"/>
        <w:autoSpaceDN w:val="0"/>
        <w:adjustRightInd w:val="0"/>
        <w:spacing w:line="300" w:lineRule="atLeast"/>
        <w:rPr>
          <w:rFonts w:ascii="Arial" w:hAnsi="Arial" w:cs="Arial"/>
          <w:color w:val="000000"/>
          <w:sz w:val="22"/>
          <w:szCs w:val="22"/>
        </w:rPr>
      </w:pPr>
    </w:p>
    <w:p w:rsidR="000D5A00" w:rsidRPr="004E3819" w:rsidRDefault="000D5A00" w:rsidP="000D5A00">
      <w:pPr>
        <w:tabs>
          <w:tab w:val="left" w:pos="3960"/>
        </w:tabs>
        <w:autoSpaceDE w:val="0"/>
        <w:autoSpaceDN w:val="0"/>
        <w:adjustRightInd w:val="0"/>
        <w:spacing w:line="300" w:lineRule="atLeast"/>
        <w:rPr>
          <w:rFonts w:ascii="Arial" w:hAnsi="Arial" w:cs="Arial"/>
          <w:sz w:val="22"/>
          <w:szCs w:val="22"/>
        </w:rPr>
      </w:pPr>
    </w:p>
    <w:p w:rsidR="000C5921" w:rsidRPr="004E3819" w:rsidRDefault="00E25F42" w:rsidP="00A97B34">
      <w:pPr>
        <w:tabs>
          <w:tab w:val="left" w:pos="3960"/>
        </w:tabs>
        <w:autoSpaceDE w:val="0"/>
        <w:autoSpaceDN w:val="0"/>
        <w:adjustRightInd w:val="0"/>
        <w:spacing w:line="300" w:lineRule="atLeast"/>
        <w:rPr>
          <w:rFonts w:ascii="Arial" w:hAnsi="Arial" w:cs="Arial"/>
          <w:color w:val="000000"/>
          <w:sz w:val="22"/>
          <w:szCs w:val="22"/>
        </w:rPr>
      </w:pPr>
      <w:r w:rsidRPr="004E3819">
        <w:rPr>
          <w:rFonts w:ascii="Arial" w:hAnsi="Arial" w:cs="Arial"/>
          <w:color w:val="000000"/>
          <w:sz w:val="22"/>
          <w:szCs w:val="22"/>
        </w:rPr>
        <w:t xml:space="preserve">Zástupce </w:t>
      </w:r>
      <w:r w:rsidR="000C5921" w:rsidRPr="004E3819">
        <w:rPr>
          <w:rFonts w:ascii="Arial" w:hAnsi="Arial" w:cs="Arial"/>
          <w:color w:val="000000"/>
          <w:sz w:val="22"/>
          <w:szCs w:val="22"/>
        </w:rPr>
        <w:t>objednatele</w:t>
      </w:r>
    </w:p>
    <w:p w:rsidR="00E25F42" w:rsidRDefault="00E25F42" w:rsidP="00E25F4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pro výkon technického  </w:t>
      </w:r>
    </w:p>
    <w:p w:rsidR="00A97B34" w:rsidRDefault="00E25F42" w:rsidP="000D5A00">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p>
    <w:p w:rsidR="000D5A00" w:rsidRDefault="000D5A00" w:rsidP="000D5A00">
      <w:pPr>
        <w:tabs>
          <w:tab w:val="left" w:pos="3960"/>
        </w:tabs>
        <w:autoSpaceDE w:val="0"/>
        <w:autoSpaceDN w:val="0"/>
        <w:adjustRightInd w:val="0"/>
        <w:spacing w:line="300" w:lineRule="atLeast"/>
        <w:rPr>
          <w:rStyle w:val="Hypertextovodkaz"/>
          <w:rFonts w:ascii="Arial" w:hAnsi="Arial" w:cs="Arial"/>
          <w:sz w:val="22"/>
          <w:szCs w:val="22"/>
        </w:rPr>
      </w:pPr>
    </w:p>
    <w:p w:rsidR="0083347B" w:rsidRDefault="0083347B" w:rsidP="00A97B34">
      <w:pPr>
        <w:tabs>
          <w:tab w:val="left" w:pos="3960"/>
        </w:tabs>
        <w:autoSpaceDE w:val="0"/>
        <w:autoSpaceDN w:val="0"/>
        <w:adjustRightInd w:val="0"/>
        <w:spacing w:line="300" w:lineRule="atLeast"/>
        <w:rPr>
          <w:rFonts w:ascii="Arial CE" w:hAnsi="Arial CE" w:cs="Arial"/>
          <w:sz w:val="22"/>
          <w:szCs w:val="22"/>
        </w:rPr>
      </w:pP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0D5A00"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A97B34" w:rsidRPr="000A37B0" w:rsidRDefault="00A97B34" w:rsidP="00A97B34">
      <w:pPr>
        <w:tabs>
          <w:tab w:val="left" w:pos="3960"/>
        </w:tabs>
        <w:spacing w:line="300" w:lineRule="atLeast"/>
        <w:jc w:val="both"/>
        <w:rPr>
          <w:rFonts w:ascii="Arial" w:hAnsi="Arial" w:cs="Arial"/>
          <w:b/>
          <w:sz w:val="22"/>
          <w:szCs w:val="22"/>
        </w:rPr>
      </w:pPr>
      <w:r>
        <w:rPr>
          <w:rFonts w:ascii="Arial CE" w:hAnsi="Arial CE" w:cs="Arial"/>
          <w:b/>
          <w:sz w:val="22"/>
          <w:szCs w:val="22"/>
        </w:rPr>
        <w:t>Zhotovitel</w:t>
      </w:r>
      <w:r w:rsidRPr="00F33A55">
        <w:rPr>
          <w:rFonts w:ascii="Arial CE" w:hAnsi="Arial CE" w:cs="Arial"/>
          <w:b/>
          <w:sz w:val="22"/>
          <w:szCs w:val="22"/>
        </w:rPr>
        <w:t>:</w:t>
      </w:r>
      <w:r w:rsidRPr="000A7F35">
        <w:rPr>
          <w:rFonts w:ascii="Arial" w:hAnsi="Arial" w:cs="Arial"/>
          <w:b/>
          <w:bCs/>
          <w:sz w:val="22"/>
          <w:szCs w:val="22"/>
        </w:rPr>
        <w:tab/>
      </w:r>
      <w:r w:rsidRPr="000A37B0">
        <w:rPr>
          <w:rFonts w:ascii="Arial" w:hAnsi="Arial" w:cs="Arial"/>
          <w:b/>
          <w:sz w:val="22"/>
          <w:szCs w:val="22"/>
        </w:rPr>
        <w:t xml:space="preserve">VODNÍ DÍLA </w:t>
      </w:r>
      <w:r w:rsidR="004E3819">
        <w:rPr>
          <w:rFonts w:ascii="Arial" w:hAnsi="Arial" w:cs="Arial"/>
          <w:b/>
          <w:sz w:val="22"/>
          <w:szCs w:val="22"/>
        </w:rPr>
        <w:t>–</w:t>
      </w:r>
      <w:r w:rsidRPr="000A37B0">
        <w:rPr>
          <w:rFonts w:ascii="Arial" w:hAnsi="Arial" w:cs="Arial"/>
          <w:b/>
          <w:sz w:val="22"/>
          <w:szCs w:val="22"/>
        </w:rPr>
        <w:t xml:space="preserve"> TBD</w:t>
      </w:r>
      <w:r w:rsidR="004E3819">
        <w:rPr>
          <w:rFonts w:ascii="Arial" w:hAnsi="Arial" w:cs="Arial"/>
          <w:b/>
          <w:sz w:val="22"/>
          <w:szCs w:val="22"/>
        </w:rPr>
        <w:t>,</w:t>
      </w:r>
      <w:r w:rsidRPr="000A37B0">
        <w:rPr>
          <w:rFonts w:ascii="Arial" w:hAnsi="Arial" w:cs="Arial"/>
          <w:b/>
          <w:sz w:val="22"/>
          <w:szCs w:val="22"/>
        </w:rPr>
        <w:t xml:space="preserve"> a.</w:t>
      </w:r>
      <w:r w:rsidR="004E3819">
        <w:rPr>
          <w:rFonts w:ascii="Arial" w:hAnsi="Arial" w:cs="Arial"/>
          <w:b/>
          <w:sz w:val="22"/>
          <w:szCs w:val="22"/>
        </w:rPr>
        <w:t xml:space="preserve"> </w:t>
      </w:r>
      <w:r w:rsidRPr="000A37B0">
        <w:rPr>
          <w:rFonts w:ascii="Arial" w:hAnsi="Arial" w:cs="Arial"/>
          <w:b/>
          <w:sz w:val="22"/>
          <w:szCs w:val="22"/>
        </w:rPr>
        <w:t xml:space="preserve">s. </w:t>
      </w:r>
    </w:p>
    <w:p w:rsidR="00A97B34" w:rsidRPr="000A37B0" w:rsidRDefault="00A97B34" w:rsidP="00A97B34">
      <w:pPr>
        <w:tabs>
          <w:tab w:val="left" w:pos="3960"/>
        </w:tabs>
        <w:spacing w:line="300" w:lineRule="atLeast"/>
        <w:jc w:val="both"/>
        <w:rPr>
          <w:rFonts w:ascii="Arial" w:hAnsi="Arial" w:cs="Arial"/>
          <w:sz w:val="22"/>
          <w:szCs w:val="22"/>
        </w:rPr>
      </w:pPr>
      <w:r w:rsidRPr="000A37B0">
        <w:rPr>
          <w:rFonts w:ascii="Arial" w:hAnsi="Arial" w:cs="Arial"/>
          <w:sz w:val="22"/>
          <w:szCs w:val="22"/>
        </w:rPr>
        <w:tab/>
        <w:t xml:space="preserve">Hybernská 1617/40, </w:t>
      </w:r>
      <w:proofErr w:type="gramStart"/>
      <w:r w:rsidRPr="000A37B0">
        <w:rPr>
          <w:rFonts w:ascii="Arial" w:hAnsi="Arial" w:cs="Arial"/>
          <w:sz w:val="22"/>
          <w:szCs w:val="22"/>
        </w:rPr>
        <w:t>110 00  Praha</w:t>
      </w:r>
      <w:proofErr w:type="gramEnd"/>
      <w:r w:rsidRPr="000A37B0">
        <w:rPr>
          <w:rFonts w:ascii="Arial" w:hAnsi="Arial" w:cs="Arial"/>
          <w:sz w:val="22"/>
          <w:szCs w:val="22"/>
        </w:rPr>
        <w:t xml:space="preserve"> 1 </w:t>
      </w:r>
    </w:p>
    <w:p w:rsidR="00A97B34" w:rsidRPr="000A37B0" w:rsidRDefault="00A97B34" w:rsidP="00A97B34">
      <w:pPr>
        <w:tabs>
          <w:tab w:val="left" w:pos="3960"/>
        </w:tabs>
        <w:spacing w:line="300" w:lineRule="atLeast"/>
        <w:jc w:val="both"/>
        <w:rPr>
          <w:rFonts w:ascii="Arial" w:hAnsi="Arial" w:cs="Arial"/>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Pr>
          <w:rFonts w:ascii="Arial" w:hAnsi="Arial" w:cs="Arial"/>
          <w:b/>
          <w:sz w:val="22"/>
          <w:szCs w:val="22"/>
        </w:rPr>
        <w:tab/>
      </w:r>
      <w:r w:rsidRPr="000A37B0">
        <w:rPr>
          <w:rFonts w:ascii="Arial" w:hAnsi="Arial" w:cs="Arial"/>
          <w:sz w:val="22"/>
          <w:szCs w:val="22"/>
        </w:rPr>
        <w:t>49241648</w:t>
      </w:r>
    </w:p>
    <w:p w:rsidR="00A97B34" w:rsidRPr="000A37B0" w:rsidRDefault="00A97B34" w:rsidP="00A97B34">
      <w:pPr>
        <w:tabs>
          <w:tab w:val="left" w:pos="3960"/>
        </w:tabs>
        <w:spacing w:line="300" w:lineRule="atLeast"/>
        <w:jc w:val="both"/>
        <w:rPr>
          <w:rFonts w:ascii="Arial" w:hAnsi="Arial" w:cs="Arial"/>
          <w:sz w:val="22"/>
          <w:szCs w:val="22"/>
        </w:rPr>
      </w:pPr>
      <w:r w:rsidRPr="00525BC2">
        <w:rPr>
          <w:rFonts w:ascii="Arial" w:hAnsi="Arial" w:cs="Arial"/>
          <w:b/>
          <w:sz w:val="22"/>
          <w:szCs w:val="22"/>
        </w:rPr>
        <w:t>DIČ:</w:t>
      </w:r>
      <w:r w:rsidRPr="000A37B0">
        <w:rPr>
          <w:rFonts w:ascii="Arial" w:hAnsi="Arial" w:cs="Arial"/>
          <w:sz w:val="22"/>
          <w:szCs w:val="22"/>
        </w:rPr>
        <w:tab/>
        <w:t xml:space="preserve">CZ49241648  </w:t>
      </w:r>
    </w:p>
    <w:p w:rsidR="00A97B34" w:rsidRPr="000A37B0" w:rsidRDefault="00A97B34" w:rsidP="00A97B34">
      <w:pPr>
        <w:tabs>
          <w:tab w:val="left" w:pos="3960"/>
        </w:tabs>
        <w:spacing w:line="300" w:lineRule="atLeast"/>
        <w:ind w:left="3960" w:hanging="3960"/>
        <w:jc w:val="both"/>
        <w:rPr>
          <w:rFonts w:ascii="Arial" w:hAnsi="Arial" w:cs="Arial"/>
          <w:sz w:val="22"/>
          <w:szCs w:val="22"/>
        </w:rPr>
      </w:pPr>
      <w:r w:rsidRPr="000A37B0">
        <w:rPr>
          <w:rFonts w:ascii="Arial" w:hAnsi="Arial" w:cs="Arial"/>
          <w:sz w:val="22"/>
          <w:szCs w:val="22"/>
        </w:rPr>
        <w:t xml:space="preserve">zastoupený: </w:t>
      </w:r>
      <w:r w:rsidRPr="000A37B0">
        <w:rPr>
          <w:rFonts w:ascii="Arial" w:hAnsi="Arial" w:cs="Arial"/>
          <w:sz w:val="22"/>
          <w:szCs w:val="22"/>
        </w:rPr>
        <w:tab/>
        <w:t xml:space="preserve">Ing. Milošem Sedláčkem, prokuristou </w:t>
      </w:r>
    </w:p>
    <w:p w:rsidR="00A97B34" w:rsidRDefault="00A97B34" w:rsidP="00A97B34">
      <w:pPr>
        <w:tabs>
          <w:tab w:val="left" w:pos="3960"/>
        </w:tabs>
        <w:spacing w:line="300" w:lineRule="atLeast"/>
        <w:jc w:val="both"/>
        <w:rPr>
          <w:rFonts w:ascii="Arial" w:hAnsi="Arial" w:cs="Arial"/>
          <w:sz w:val="22"/>
          <w:szCs w:val="22"/>
        </w:rPr>
      </w:pPr>
      <w:r w:rsidRPr="000A37B0">
        <w:rPr>
          <w:rFonts w:ascii="Arial" w:hAnsi="Arial" w:cs="Arial"/>
          <w:sz w:val="22"/>
          <w:szCs w:val="22"/>
        </w:rPr>
        <w:t>zástupce ve věcech smluvních:</w:t>
      </w:r>
      <w:r w:rsidRPr="000A37B0">
        <w:rPr>
          <w:rFonts w:ascii="Arial" w:hAnsi="Arial" w:cs="Arial"/>
          <w:sz w:val="22"/>
          <w:szCs w:val="22"/>
        </w:rPr>
        <w:tab/>
        <w:t>Ing. Miloš Sedláček, prokurista</w:t>
      </w:r>
    </w:p>
    <w:p w:rsidR="00A97B34" w:rsidRPr="000A37B0" w:rsidRDefault="00A97B34" w:rsidP="00A97B34">
      <w:pPr>
        <w:tabs>
          <w:tab w:val="left" w:pos="3960"/>
        </w:tabs>
        <w:spacing w:line="300" w:lineRule="atLeast"/>
        <w:jc w:val="both"/>
        <w:rPr>
          <w:rFonts w:ascii="Arial" w:hAnsi="Arial" w:cs="Arial"/>
          <w:sz w:val="22"/>
          <w:szCs w:val="22"/>
        </w:rPr>
      </w:pPr>
    </w:p>
    <w:p w:rsidR="00A97B34" w:rsidRPr="000A37B0" w:rsidRDefault="00A97B34" w:rsidP="000D5A00">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zástupce ve věcech technických:</w:t>
      </w:r>
      <w:r w:rsidRPr="000A37B0">
        <w:rPr>
          <w:rFonts w:ascii="Arial" w:hAnsi="Arial" w:cs="Arial"/>
          <w:sz w:val="22"/>
          <w:szCs w:val="22"/>
        </w:rPr>
        <w:tab/>
      </w:r>
    </w:p>
    <w:p w:rsidR="00A97B34" w:rsidRPr="000A37B0" w:rsidRDefault="00A97B34" w:rsidP="00A97B34">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ab/>
      </w:r>
    </w:p>
    <w:p w:rsidR="00A97B34" w:rsidRDefault="00A97B34" w:rsidP="000D5A00">
      <w:pPr>
        <w:tabs>
          <w:tab w:val="left" w:pos="3960"/>
        </w:tabs>
        <w:spacing w:line="300" w:lineRule="atLeast"/>
        <w:jc w:val="both"/>
        <w:rPr>
          <w:rFonts w:ascii="Arial CE" w:hAnsi="Arial CE"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0D5A00" w:rsidRPr="000A37B0" w:rsidRDefault="000D5A00" w:rsidP="000D5A00">
      <w:pPr>
        <w:tabs>
          <w:tab w:val="left" w:pos="3960"/>
        </w:tabs>
        <w:spacing w:line="300" w:lineRule="atLeast"/>
        <w:jc w:val="both"/>
        <w:rPr>
          <w:rFonts w:ascii="Arial" w:hAnsi="Arial" w:cs="Arial"/>
          <w:sz w:val="22"/>
          <w:szCs w:val="22"/>
        </w:rPr>
      </w:pPr>
      <w:bookmarkStart w:id="0" w:name="_GoBack"/>
      <w:bookmarkEnd w:id="0"/>
    </w:p>
    <w:p w:rsidR="00A97B34" w:rsidRPr="001D7A19" w:rsidRDefault="00A97B34" w:rsidP="00A97B34">
      <w:pPr>
        <w:tabs>
          <w:tab w:val="left" w:pos="3960"/>
        </w:tabs>
        <w:jc w:val="both"/>
        <w:rPr>
          <w:rFonts w:ascii="Arial CE" w:hAnsi="Arial CE" w:cs="Arial"/>
          <w:b/>
          <w:sz w:val="22"/>
          <w:szCs w:val="22"/>
        </w:rPr>
      </w:pPr>
    </w:p>
    <w:p w:rsidR="00A97B34" w:rsidRPr="001D7A19" w:rsidRDefault="00A97B34" w:rsidP="00A97B34">
      <w:pPr>
        <w:tabs>
          <w:tab w:val="left" w:pos="3960"/>
        </w:tabs>
        <w:jc w:val="both"/>
        <w:rPr>
          <w:rFonts w:ascii="Arial CE" w:hAnsi="Arial CE" w:cs="Arial"/>
          <w:sz w:val="22"/>
          <w:szCs w:val="22"/>
        </w:rPr>
      </w:pPr>
      <w:r w:rsidRPr="001D7A19">
        <w:rPr>
          <w:rFonts w:ascii="Arial CE" w:hAnsi="Arial CE" w:cs="Arial"/>
          <w:b/>
          <w:sz w:val="22"/>
          <w:szCs w:val="22"/>
        </w:rPr>
        <w:tab/>
      </w:r>
    </w:p>
    <w:p w:rsidR="00A97B34" w:rsidRPr="001D7A19" w:rsidRDefault="00A97B34" w:rsidP="00A97B34">
      <w:pPr>
        <w:jc w:val="both"/>
        <w:rPr>
          <w:rFonts w:ascii="Arial CE" w:hAnsi="Arial CE" w:cs="Arial"/>
          <w:sz w:val="22"/>
          <w:szCs w:val="22"/>
        </w:rPr>
      </w:pPr>
      <w:r>
        <w:rPr>
          <w:rFonts w:ascii="Arial" w:hAnsi="Arial" w:cs="Arial"/>
          <w:bCs/>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vložce č.</w:t>
      </w:r>
      <w:r>
        <w:rPr>
          <w:rFonts w:ascii="Arial CE" w:hAnsi="Arial CE" w:cs="Arial"/>
          <w:sz w:val="22"/>
          <w:szCs w:val="22"/>
        </w:rPr>
        <w:t> 2154</w:t>
      </w:r>
    </w:p>
    <w:p w:rsidR="00A97B34" w:rsidRDefault="00A97B34" w:rsidP="00A97B34">
      <w:pPr>
        <w:spacing w:after="200" w:line="276" w:lineRule="auto"/>
        <w:rPr>
          <w:rFonts w:ascii="Arial" w:hAnsi="Arial" w:cs="Arial"/>
          <w:color w:val="000000"/>
          <w:sz w:val="22"/>
          <w:szCs w:val="22"/>
        </w:rPr>
      </w:pPr>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 w:val="22"/>
          <w:szCs w:val="22"/>
        </w:rPr>
      </w:pP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Pr="00D4315E" w:rsidRDefault="0048473A" w:rsidP="0048473A">
      <w:pPr>
        <w:pStyle w:val="Export0"/>
        <w:outlineLvl w:val="0"/>
        <w:rPr>
          <w:rFonts w:ascii="Arial" w:eastAsia="Arial CE" w:hAnsi="Arial" w:cs="Arial"/>
          <w:sz w:val="22"/>
          <w:szCs w:val="22"/>
          <w:lang w:val="cs-CZ"/>
        </w:rPr>
      </w:pPr>
      <w:r w:rsidRPr="00D4315E">
        <w:rPr>
          <w:rFonts w:ascii="Arial" w:eastAsia="Arial CE" w:hAnsi="Arial" w:cs="Arial"/>
          <w:sz w:val="22"/>
          <w:szCs w:val="22"/>
          <w:lang w:val="cs-CZ"/>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F62A65" w:rsidRPr="003E0A92" w:rsidRDefault="00F62A65" w:rsidP="00B806B5">
      <w:pPr>
        <w:pStyle w:val="Export0"/>
        <w:numPr>
          <w:ilvl w:val="0"/>
          <w:numId w:val="13"/>
        </w:numPr>
        <w:ind w:left="426" w:hanging="426"/>
        <w:jc w:val="both"/>
        <w:outlineLvl w:val="0"/>
        <w:rPr>
          <w:rFonts w:ascii="Arial" w:hAnsi="Arial" w:cs="Arial"/>
          <w:b/>
          <w:sz w:val="22"/>
          <w:szCs w:val="22"/>
        </w:rPr>
      </w:pPr>
      <w:r w:rsidRPr="003E0A92">
        <w:rPr>
          <w:rFonts w:ascii="Arial" w:hAnsi="Arial" w:cs="Arial"/>
          <w:b/>
          <w:sz w:val="22"/>
          <w:szCs w:val="22"/>
          <w:lang w:val="cs-CZ"/>
        </w:rPr>
        <w:t>Projektové</w:t>
      </w:r>
      <w:r w:rsidRPr="003E0A92">
        <w:rPr>
          <w:rFonts w:ascii="Arial" w:hAnsi="Arial" w:cs="Arial"/>
          <w:b/>
          <w:sz w:val="22"/>
          <w:szCs w:val="22"/>
        </w:rPr>
        <w:t xml:space="preserve"> </w:t>
      </w:r>
      <w:r w:rsidRPr="003E0A92">
        <w:rPr>
          <w:rFonts w:ascii="Arial" w:hAnsi="Arial" w:cs="Arial"/>
          <w:b/>
          <w:sz w:val="22"/>
          <w:szCs w:val="22"/>
          <w:lang w:val="cs-CZ"/>
        </w:rPr>
        <w:t>dokumentace</w:t>
      </w:r>
      <w:r w:rsidRPr="003E0A92">
        <w:rPr>
          <w:rFonts w:ascii="Arial" w:hAnsi="Arial" w:cs="Arial"/>
          <w:b/>
          <w:sz w:val="22"/>
          <w:szCs w:val="22"/>
        </w:rPr>
        <w:t xml:space="preserve"> pro </w:t>
      </w:r>
      <w:r w:rsidRPr="003E0A92">
        <w:rPr>
          <w:rFonts w:ascii="Arial" w:hAnsi="Arial" w:cs="Arial"/>
          <w:b/>
          <w:sz w:val="22"/>
          <w:szCs w:val="22"/>
          <w:lang w:val="cs-CZ"/>
        </w:rPr>
        <w:t>ohlášení</w:t>
      </w:r>
      <w:r w:rsidRPr="003E0A92">
        <w:rPr>
          <w:rFonts w:ascii="Arial" w:hAnsi="Arial" w:cs="Arial"/>
          <w:b/>
          <w:sz w:val="22"/>
          <w:szCs w:val="22"/>
        </w:rPr>
        <w:t xml:space="preserve"> </w:t>
      </w:r>
      <w:r w:rsidRPr="003E0A92">
        <w:rPr>
          <w:rFonts w:ascii="Arial" w:hAnsi="Arial" w:cs="Arial"/>
          <w:b/>
          <w:sz w:val="22"/>
          <w:szCs w:val="22"/>
          <w:lang w:val="cs-CZ"/>
        </w:rPr>
        <w:t>stavby</w:t>
      </w:r>
      <w:r w:rsidRPr="003E0A92">
        <w:rPr>
          <w:rFonts w:ascii="Arial" w:hAnsi="Arial" w:cs="Arial"/>
          <w:b/>
          <w:sz w:val="22"/>
          <w:szCs w:val="22"/>
        </w:rPr>
        <w:t xml:space="preserve"> </w:t>
      </w:r>
      <w:r w:rsidRPr="003E0A92">
        <w:rPr>
          <w:rFonts w:ascii="Arial" w:hAnsi="Arial" w:cs="Arial"/>
          <w:b/>
          <w:sz w:val="22"/>
          <w:szCs w:val="22"/>
          <w:lang w:val="cs-CZ"/>
        </w:rPr>
        <w:t>uvedené</w:t>
      </w:r>
      <w:r w:rsidRPr="003E0A92">
        <w:rPr>
          <w:rFonts w:ascii="Arial" w:hAnsi="Arial" w:cs="Arial"/>
          <w:b/>
          <w:sz w:val="22"/>
          <w:szCs w:val="22"/>
        </w:rPr>
        <w:t xml:space="preserve"> v §104 </w:t>
      </w:r>
      <w:r w:rsidRPr="003E0A92">
        <w:rPr>
          <w:rFonts w:ascii="Arial" w:hAnsi="Arial" w:cs="Arial"/>
          <w:b/>
          <w:sz w:val="22"/>
          <w:szCs w:val="22"/>
          <w:lang w:val="cs-CZ"/>
        </w:rPr>
        <w:t>odst</w:t>
      </w:r>
      <w:r w:rsidRPr="003E0A92">
        <w:rPr>
          <w:rFonts w:ascii="Arial" w:hAnsi="Arial" w:cs="Arial"/>
          <w:b/>
          <w:sz w:val="22"/>
          <w:szCs w:val="22"/>
        </w:rPr>
        <w:t xml:space="preserve">. 1 </w:t>
      </w:r>
      <w:r w:rsidRPr="003E0A92">
        <w:rPr>
          <w:rFonts w:ascii="Arial" w:hAnsi="Arial" w:cs="Arial"/>
          <w:b/>
          <w:sz w:val="22"/>
          <w:szCs w:val="22"/>
          <w:lang w:val="cs-CZ"/>
        </w:rPr>
        <w:t>písm</w:t>
      </w:r>
      <w:r w:rsidRPr="003E0A92">
        <w:rPr>
          <w:rFonts w:ascii="Arial" w:hAnsi="Arial" w:cs="Arial"/>
          <w:b/>
          <w:sz w:val="22"/>
          <w:szCs w:val="22"/>
        </w:rPr>
        <w:t xml:space="preserve">. a) </w:t>
      </w:r>
      <w:r w:rsidRPr="003E0A92">
        <w:rPr>
          <w:rFonts w:ascii="Arial" w:hAnsi="Arial" w:cs="Arial"/>
          <w:b/>
          <w:sz w:val="22"/>
          <w:szCs w:val="22"/>
          <w:lang w:val="cs-CZ"/>
        </w:rPr>
        <w:t>až</w:t>
      </w:r>
      <w:r w:rsidRPr="003E0A92">
        <w:rPr>
          <w:rFonts w:ascii="Arial" w:hAnsi="Arial" w:cs="Arial"/>
          <w:b/>
          <w:sz w:val="22"/>
          <w:szCs w:val="22"/>
        </w:rPr>
        <w:t xml:space="preserve"> e) </w:t>
      </w:r>
      <w:r w:rsidRPr="003E0A92">
        <w:rPr>
          <w:rFonts w:ascii="Arial" w:hAnsi="Arial" w:cs="Arial"/>
          <w:b/>
          <w:sz w:val="22"/>
          <w:szCs w:val="22"/>
          <w:lang w:val="cs-CZ"/>
        </w:rPr>
        <w:t>stavebního</w:t>
      </w:r>
      <w:r w:rsidRPr="003E0A92">
        <w:rPr>
          <w:rFonts w:ascii="Arial" w:hAnsi="Arial" w:cs="Arial"/>
          <w:b/>
          <w:sz w:val="22"/>
          <w:szCs w:val="22"/>
        </w:rPr>
        <w:t xml:space="preserve"> </w:t>
      </w:r>
      <w:r w:rsidRPr="003E0A92">
        <w:rPr>
          <w:rFonts w:ascii="Arial" w:hAnsi="Arial" w:cs="Arial"/>
          <w:b/>
          <w:sz w:val="22"/>
          <w:szCs w:val="22"/>
          <w:lang w:val="cs-CZ"/>
        </w:rPr>
        <w:t>zákona</w:t>
      </w:r>
      <w:r w:rsidRPr="003E0A92">
        <w:rPr>
          <w:rFonts w:ascii="Arial" w:hAnsi="Arial" w:cs="Arial"/>
          <w:b/>
          <w:sz w:val="22"/>
          <w:szCs w:val="22"/>
        </w:rPr>
        <w:t xml:space="preserve"> </w:t>
      </w:r>
      <w:r w:rsidRPr="003E0A92">
        <w:rPr>
          <w:rFonts w:ascii="Arial" w:hAnsi="Arial" w:cs="Arial"/>
          <w:b/>
          <w:sz w:val="22"/>
          <w:szCs w:val="22"/>
          <w:lang w:val="cs-CZ"/>
        </w:rPr>
        <w:t>nebo</w:t>
      </w:r>
      <w:r w:rsidRPr="003E0A92">
        <w:rPr>
          <w:rFonts w:ascii="Arial" w:hAnsi="Arial" w:cs="Arial"/>
          <w:b/>
          <w:sz w:val="22"/>
          <w:szCs w:val="22"/>
        </w:rPr>
        <w:t xml:space="preserve"> pro </w:t>
      </w:r>
      <w:r w:rsidRPr="003E0A92">
        <w:rPr>
          <w:rFonts w:ascii="Arial" w:hAnsi="Arial" w:cs="Arial"/>
          <w:b/>
          <w:sz w:val="22"/>
          <w:szCs w:val="22"/>
          <w:lang w:val="cs-CZ"/>
        </w:rPr>
        <w:t>vydání</w:t>
      </w:r>
      <w:r w:rsidRPr="003E0A92">
        <w:rPr>
          <w:rFonts w:ascii="Arial" w:hAnsi="Arial" w:cs="Arial"/>
          <w:b/>
          <w:sz w:val="22"/>
          <w:szCs w:val="22"/>
        </w:rPr>
        <w:t xml:space="preserve"> </w:t>
      </w:r>
      <w:r w:rsidRPr="003E0A92">
        <w:rPr>
          <w:rFonts w:ascii="Arial" w:hAnsi="Arial" w:cs="Arial"/>
          <w:b/>
          <w:sz w:val="22"/>
          <w:szCs w:val="22"/>
          <w:lang w:val="cs-CZ"/>
        </w:rPr>
        <w:t>stavebního</w:t>
      </w:r>
      <w:r w:rsidRPr="003E0A92">
        <w:rPr>
          <w:rFonts w:ascii="Arial" w:hAnsi="Arial" w:cs="Arial"/>
          <w:b/>
          <w:sz w:val="22"/>
          <w:szCs w:val="22"/>
        </w:rPr>
        <w:t xml:space="preserve"> </w:t>
      </w:r>
      <w:r w:rsidRPr="003E0A92">
        <w:rPr>
          <w:rFonts w:ascii="Arial" w:hAnsi="Arial" w:cs="Arial"/>
          <w:b/>
          <w:sz w:val="22"/>
          <w:szCs w:val="22"/>
          <w:lang w:val="cs-CZ"/>
        </w:rPr>
        <w:t>povolení</w:t>
      </w:r>
      <w:r w:rsidRPr="003E0A92">
        <w:rPr>
          <w:rFonts w:ascii="Arial" w:hAnsi="Arial" w:cs="Arial"/>
          <w:b/>
          <w:sz w:val="22"/>
          <w:szCs w:val="22"/>
        </w:rPr>
        <w:t xml:space="preserve"> v </w:t>
      </w:r>
      <w:r w:rsidRPr="003E0A92">
        <w:rPr>
          <w:rFonts w:ascii="Arial" w:hAnsi="Arial" w:cs="Arial"/>
          <w:b/>
          <w:sz w:val="22"/>
          <w:szCs w:val="22"/>
          <w:lang w:val="cs-CZ"/>
        </w:rPr>
        <w:t>podrobnostech</w:t>
      </w:r>
      <w:r w:rsidRPr="003E0A92">
        <w:rPr>
          <w:rFonts w:ascii="Arial" w:hAnsi="Arial" w:cs="Arial"/>
          <w:b/>
          <w:sz w:val="22"/>
          <w:szCs w:val="22"/>
        </w:rPr>
        <w:t xml:space="preserve"> </w:t>
      </w:r>
      <w:r w:rsidRPr="003E0A92">
        <w:rPr>
          <w:rFonts w:ascii="Arial" w:hAnsi="Arial" w:cs="Arial"/>
          <w:b/>
          <w:sz w:val="22"/>
          <w:szCs w:val="22"/>
          <w:lang w:val="cs-CZ"/>
        </w:rPr>
        <w:t>projektové</w:t>
      </w:r>
      <w:r w:rsidRPr="003E0A92">
        <w:rPr>
          <w:rFonts w:ascii="Arial" w:hAnsi="Arial" w:cs="Arial"/>
          <w:b/>
          <w:sz w:val="22"/>
          <w:szCs w:val="22"/>
        </w:rPr>
        <w:t xml:space="preserve"> </w:t>
      </w:r>
      <w:r w:rsidRPr="003E0A92">
        <w:rPr>
          <w:rFonts w:ascii="Arial" w:hAnsi="Arial" w:cs="Arial"/>
          <w:b/>
          <w:sz w:val="22"/>
          <w:szCs w:val="22"/>
          <w:lang w:val="cs-CZ"/>
        </w:rPr>
        <w:t>dokumentace</w:t>
      </w:r>
      <w:r w:rsidRPr="003E0A92">
        <w:rPr>
          <w:rFonts w:ascii="Arial" w:hAnsi="Arial" w:cs="Arial"/>
          <w:b/>
          <w:sz w:val="22"/>
          <w:szCs w:val="22"/>
        </w:rPr>
        <w:t xml:space="preserve"> pro </w:t>
      </w:r>
      <w:r w:rsidRPr="003E0A92">
        <w:rPr>
          <w:rFonts w:ascii="Arial" w:hAnsi="Arial" w:cs="Arial"/>
          <w:b/>
          <w:sz w:val="22"/>
          <w:szCs w:val="22"/>
          <w:lang w:val="cs-CZ"/>
        </w:rPr>
        <w:t>provádění</w:t>
      </w:r>
      <w:r w:rsidRPr="003E0A92">
        <w:rPr>
          <w:rFonts w:ascii="Arial" w:hAnsi="Arial" w:cs="Arial"/>
          <w:b/>
          <w:sz w:val="22"/>
          <w:szCs w:val="22"/>
        </w:rPr>
        <w:t xml:space="preserve"> </w:t>
      </w:r>
      <w:r w:rsidRPr="003E0A92">
        <w:rPr>
          <w:rFonts w:ascii="Arial" w:hAnsi="Arial" w:cs="Arial"/>
          <w:b/>
          <w:sz w:val="22"/>
          <w:szCs w:val="22"/>
          <w:lang w:val="cs-CZ"/>
        </w:rPr>
        <w:t>stavby</w:t>
      </w:r>
      <w:r w:rsidRPr="003E0A92">
        <w:rPr>
          <w:rFonts w:ascii="Arial" w:hAnsi="Arial" w:cs="Arial"/>
          <w:b/>
          <w:sz w:val="22"/>
          <w:szCs w:val="22"/>
        </w:rPr>
        <w:t xml:space="preserve"> (DSJ)</w:t>
      </w:r>
      <w:r w:rsidRPr="003E0A92">
        <w:rPr>
          <w:rFonts w:ascii="Arial" w:eastAsia="Arial CE" w:hAnsi="Arial" w:cs="Arial"/>
          <w:b/>
          <w:sz w:val="22"/>
          <w:szCs w:val="22"/>
        </w:rPr>
        <w:t xml:space="preserve"> </w:t>
      </w:r>
      <w:r w:rsidRPr="003E0A92">
        <w:rPr>
          <w:rFonts w:ascii="Arial" w:eastAsia="Arial CE" w:hAnsi="Arial" w:cs="Arial"/>
          <w:b/>
          <w:sz w:val="22"/>
          <w:szCs w:val="22"/>
          <w:lang w:val="cs-CZ"/>
        </w:rPr>
        <w:t>včetně</w:t>
      </w:r>
      <w:r w:rsidRPr="003E0A92">
        <w:rPr>
          <w:rFonts w:ascii="Arial" w:eastAsia="Arial CE" w:hAnsi="Arial" w:cs="Arial"/>
          <w:b/>
          <w:sz w:val="22"/>
          <w:szCs w:val="22"/>
        </w:rPr>
        <w:t xml:space="preserve"> </w:t>
      </w:r>
      <w:r w:rsidRPr="003E0A92">
        <w:rPr>
          <w:rFonts w:ascii="Arial" w:eastAsia="Arial CE" w:hAnsi="Arial" w:cs="Arial"/>
          <w:b/>
          <w:sz w:val="22"/>
          <w:szCs w:val="22"/>
          <w:lang w:val="cs-CZ"/>
        </w:rPr>
        <w:t>dokladové</w:t>
      </w:r>
      <w:r w:rsidRPr="003E0A92">
        <w:rPr>
          <w:rFonts w:ascii="Arial" w:eastAsia="Arial CE" w:hAnsi="Arial" w:cs="Arial"/>
          <w:b/>
          <w:sz w:val="22"/>
          <w:szCs w:val="22"/>
        </w:rPr>
        <w:t xml:space="preserve"> </w:t>
      </w:r>
      <w:r w:rsidRPr="003E0A92">
        <w:rPr>
          <w:rFonts w:ascii="Arial" w:eastAsia="Arial CE" w:hAnsi="Arial" w:cs="Arial"/>
          <w:b/>
          <w:sz w:val="22"/>
          <w:szCs w:val="22"/>
          <w:lang w:val="cs-CZ"/>
        </w:rPr>
        <w:t>části</w:t>
      </w:r>
      <w:r w:rsidRPr="003E0A92">
        <w:rPr>
          <w:rFonts w:ascii="Arial" w:eastAsia="Arial CE" w:hAnsi="Arial" w:cs="Arial"/>
          <w:b/>
          <w:sz w:val="22"/>
          <w:szCs w:val="22"/>
        </w:rPr>
        <w:t xml:space="preserve">, </w:t>
      </w:r>
      <w:r w:rsidRPr="003E0A92">
        <w:rPr>
          <w:rFonts w:ascii="Arial" w:eastAsia="Arial CE" w:hAnsi="Arial" w:cs="Arial"/>
          <w:b/>
          <w:sz w:val="22"/>
          <w:szCs w:val="22"/>
          <w:lang w:val="cs-CZ"/>
        </w:rPr>
        <w:t>soupisu</w:t>
      </w:r>
      <w:r w:rsidRPr="003E0A92">
        <w:rPr>
          <w:rFonts w:ascii="Arial" w:eastAsia="Arial CE" w:hAnsi="Arial" w:cs="Arial"/>
          <w:b/>
          <w:sz w:val="22"/>
          <w:szCs w:val="22"/>
        </w:rPr>
        <w:t xml:space="preserve"> </w:t>
      </w:r>
      <w:r w:rsidRPr="003E0A92">
        <w:rPr>
          <w:rFonts w:ascii="Arial" w:eastAsia="Arial CE" w:hAnsi="Arial" w:cs="Arial"/>
          <w:b/>
          <w:sz w:val="22"/>
          <w:szCs w:val="22"/>
          <w:lang w:val="cs-CZ"/>
        </w:rPr>
        <w:t>prací</w:t>
      </w:r>
      <w:r w:rsidRPr="003E0A92">
        <w:rPr>
          <w:rFonts w:ascii="Arial" w:eastAsia="Arial CE" w:hAnsi="Arial" w:cs="Arial"/>
          <w:b/>
          <w:sz w:val="22"/>
          <w:szCs w:val="22"/>
        </w:rPr>
        <w:t xml:space="preserve"> a </w:t>
      </w:r>
      <w:r w:rsidRPr="003E0A92">
        <w:rPr>
          <w:rFonts w:ascii="Arial" w:hAnsi="Arial" w:cs="Arial"/>
          <w:b/>
          <w:sz w:val="22"/>
          <w:szCs w:val="22"/>
          <w:lang w:val="cs-CZ"/>
        </w:rPr>
        <w:t>vyhodnocení</w:t>
      </w:r>
      <w:r w:rsidRPr="003E0A92">
        <w:rPr>
          <w:rFonts w:ascii="Arial" w:hAnsi="Arial" w:cs="Arial"/>
          <w:b/>
          <w:sz w:val="22"/>
          <w:szCs w:val="22"/>
        </w:rPr>
        <w:t xml:space="preserve"> </w:t>
      </w:r>
      <w:r w:rsidRPr="003E0A92">
        <w:rPr>
          <w:rFonts w:ascii="Arial" w:hAnsi="Arial" w:cs="Arial"/>
          <w:b/>
          <w:sz w:val="22"/>
          <w:szCs w:val="22"/>
          <w:lang w:val="cs-CZ"/>
        </w:rPr>
        <w:t>potřeby</w:t>
      </w:r>
      <w:r w:rsidRPr="003E0A92">
        <w:rPr>
          <w:rFonts w:ascii="Arial" w:hAnsi="Arial" w:cs="Arial"/>
          <w:b/>
          <w:sz w:val="22"/>
          <w:szCs w:val="22"/>
        </w:rPr>
        <w:t xml:space="preserve"> </w:t>
      </w:r>
      <w:r w:rsidRPr="003E0A92">
        <w:rPr>
          <w:rFonts w:ascii="Arial" w:hAnsi="Arial" w:cs="Arial"/>
          <w:b/>
          <w:sz w:val="22"/>
          <w:szCs w:val="22"/>
          <w:lang w:val="cs-CZ"/>
        </w:rPr>
        <w:t>zajištění</w:t>
      </w:r>
      <w:r w:rsidRPr="003E0A92">
        <w:rPr>
          <w:rFonts w:ascii="Arial" w:hAnsi="Arial" w:cs="Arial"/>
          <w:b/>
          <w:sz w:val="22"/>
          <w:szCs w:val="22"/>
        </w:rPr>
        <w:t xml:space="preserve"> </w:t>
      </w:r>
      <w:r w:rsidRPr="003E0A92">
        <w:rPr>
          <w:rFonts w:ascii="Arial" w:hAnsi="Arial" w:cs="Arial"/>
          <w:b/>
          <w:sz w:val="22"/>
          <w:szCs w:val="22"/>
          <w:lang w:val="cs-CZ"/>
        </w:rPr>
        <w:t>koordinátora</w:t>
      </w:r>
      <w:r w:rsidRPr="003E0A92">
        <w:rPr>
          <w:rFonts w:ascii="Arial" w:hAnsi="Arial" w:cs="Arial"/>
          <w:b/>
          <w:sz w:val="22"/>
          <w:szCs w:val="22"/>
        </w:rPr>
        <w:t xml:space="preserve"> BOZP v </w:t>
      </w:r>
      <w:r w:rsidRPr="003E0A92">
        <w:rPr>
          <w:rFonts w:ascii="Arial" w:hAnsi="Arial" w:cs="Arial"/>
          <w:b/>
          <w:sz w:val="22"/>
          <w:szCs w:val="22"/>
          <w:lang w:val="cs-CZ"/>
        </w:rPr>
        <w:t>přípravě</w:t>
      </w:r>
      <w:r w:rsidRPr="003E0A92">
        <w:rPr>
          <w:rFonts w:ascii="Arial" w:hAnsi="Arial" w:cs="Arial"/>
          <w:b/>
          <w:sz w:val="22"/>
          <w:szCs w:val="22"/>
        </w:rPr>
        <w:t xml:space="preserve"> a </w:t>
      </w:r>
      <w:r w:rsidRPr="003E0A92">
        <w:rPr>
          <w:rFonts w:ascii="Arial" w:hAnsi="Arial" w:cs="Arial"/>
          <w:b/>
          <w:sz w:val="22"/>
          <w:szCs w:val="22"/>
          <w:lang w:val="cs-CZ"/>
        </w:rPr>
        <w:t>realizaci</w:t>
      </w:r>
      <w:r w:rsidRPr="003E0A92">
        <w:rPr>
          <w:rFonts w:ascii="Arial" w:hAnsi="Arial" w:cs="Arial"/>
          <w:b/>
          <w:sz w:val="22"/>
          <w:szCs w:val="22"/>
        </w:rPr>
        <w:t xml:space="preserve"> </w:t>
      </w:r>
      <w:r w:rsidRPr="003E0A92">
        <w:rPr>
          <w:rFonts w:ascii="Arial" w:hAnsi="Arial" w:cs="Arial"/>
          <w:b/>
          <w:sz w:val="22"/>
          <w:szCs w:val="22"/>
          <w:lang w:val="cs-CZ"/>
        </w:rPr>
        <w:t>stavby</w:t>
      </w:r>
      <w:r w:rsidRPr="003E0A92">
        <w:rPr>
          <w:rFonts w:ascii="Arial" w:hAnsi="Arial" w:cs="Arial"/>
          <w:b/>
          <w:sz w:val="22"/>
          <w:szCs w:val="22"/>
        </w:rPr>
        <w:t>.</w:t>
      </w:r>
    </w:p>
    <w:p w:rsidR="00A87606" w:rsidRPr="003E0A92" w:rsidRDefault="00A87606" w:rsidP="00F62A65">
      <w:pPr>
        <w:ind w:left="426" w:hanging="426"/>
        <w:jc w:val="both"/>
        <w:rPr>
          <w:rFonts w:ascii="Arial" w:eastAsia="Arial CE" w:hAnsi="Arial" w:cs="Arial"/>
          <w:b/>
          <w:sz w:val="22"/>
          <w:szCs w:val="22"/>
        </w:rPr>
      </w:pPr>
    </w:p>
    <w:p w:rsidR="0048473A" w:rsidRPr="003E0A92" w:rsidRDefault="0048473A" w:rsidP="00B806B5">
      <w:pPr>
        <w:pStyle w:val="Odstavecseseznamem"/>
        <w:numPr>
          <w:ilvl w:val="0"/>
          <w:numId w:val="13"/>
        </w:numPr>
        <w:ind w:left="426" w:hanging="426"/>
        <w:jc w:val="both"/>
        <w:rPr>
          <w:rFonts w:ascii="Arial" w:eastAsia="Arial CE" w:hAnsi="Arial" w:cs="Arial"/>
          <w:b/>
          <w:color w:val="000000"/>
          <w:sz w:val="22"/>
          <w:szCs w:val="22"/>
        </w:rPr>
      </w:pPr>
      <w:r w:rsidRPr="003E0A92">
        <w:rPr>
          <w:rFonts w:ascii="Arial" w:eastAsia="Arial CE" w:hAnsi="Arial" w:cs="Arial"/>
          <w:b/>
          <w:sz w:val="22"/>
          <w:szCs w:val="22"/>
        </w:rPr>
        <w:t xml:space="preserve">Výkonu autorského dozoru na stavbě (AD) </w:t>
      </w:r>
    </w:p>
    <w:p w:rsidR="00421659" w:rsidRDefault="00421659" w:rsidP="00F62A65">
      <w:pPr>
        <w:pStyle w:val="Odstavecseseznamem"/>
        <w:ind w:left="426" w:hanging="426"/>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Pr="00D4315E" w:rsidRDefault="000E66E5" w:rsidP="00421659">
      <w:pPr>
        <w:ind w:left="426"/>
        <w:jc w:val="both"/>
        <w:rPr>
          <w:rFonts w:ascii="Arial" w:eastAsia="Arial CE" w:hAnsi="Arial" w:cs="Arial"/>
          <w:sz w:val="22"/>
          <w:szCs w:val="22"/>
        </w:rPr>
      </w:pPr>
    </w:p>
    <w:p w:rsidR="0048473A" w:rsidRPr="00FF70D1" w:rsidRDefault="0048473A" w:rsidP="003E0A92">
      <w:pPr>
        <w:pStyle w:val="Export0"/>
        <w:jc w:val="both"/>
        <w:outlineLvl w:val="0"/>
        <w:rPr>
          <w:rFonts w:ascii="Arial" w:eastAsia="Arial CE" w:hAnsi="Arial" w:cs="Arial"/>
          <w:sz w:val="22"/>
          <w:szCs w:val="22"/>
          <w:lang w:val="cs-CZ"/>
        </w:rPr>
      </w:pPr>
      <w:r w:rsidRPr="00D4315E">
        <w:rPr>
          <w:rFonts w:ascii="Arial" w:eastAsia="Arial CE" w:hAnsi="Arial" w:cs="Arial"/>
          <w:sz w:val="22"/>
          <w:szCs w:val="22"/>
          <w:lang w:val="cs-CZ"/>
        </w:rPr>
        <w:t>Proj</w:t>
      </w:r>
      <w:r w:rsidR="004E3819" w:rsidRPr="00D4315E">
        <w:rPr>
          <w:rFonts w:ascii="Arial" w:eastAsia="Arial CE" w:hAnsi="Arial" w:cs="Arial"/>
          <w:sz w:val="22"/>
          <w:szCs w:val="22"/>
          <w:lang w:val="cs-CZ"/>
        </w:rPr>
        <w:t xml:space="preserve">ektová dokumentace bude řešit </w:t>
      </w:r>
      <w:r w:rsidR="003E0A92">
        <w:rPr>
          <w:rFonts w:ascii="Arial" w:eastAsia="Arial CE" w:hAnsi="Arial" w:cs="Arial"/>
          <w:sz w:val="22"/>
          <w:szCs w:val="22"/>
          <w:lang w:val="cs-CZ"/>
        </w:rPr>
        <w:t xml:space="preserve">vybranou variantu objednatelem - </w:t>
      </w:r>
      <w:r w:rsidR="004E3819" w:rsidRPr="00D4315E">
        <w:rPr>
          <w:rFonts w:ascii="Arial" w:hAnsi="Arial" w:cs="Arial"/>
          <w:color w:val="000000"/>
          <w:sz w:val="22"/>
          <w:szCs w:val="22"/>
          <w:lang w:val="cs-CZ"/>
        </w:rPr>
        <w:t>nové vyzdění středového pilíře jezu</w:t>
      </w:r>
      <w:r w:rsidR="003E0A92">
        <w:rPr>
          <w:rFonts w:ascii="Arial" w:hAnsi="Arial" w:cs="Arial"/>
          <w:color w:val="000000"/>
          <w:sz w:val="22"/>
          <w:szCs w:val="22"/>
          <w:lang w:val="cs-CZ"/>
        </w:rPr>
        <w:t xml:space="preserve"> Varnsdorf</w:t>
      </w:r>
      <w:r w:rsidR="00FF70D1">
        <w:rPr>
          <w:rFonts w:ascii="Arial" w:hAnsi="Arial" w:cs="Arial"/>
          <w:color w:val="000000"/>
          <w:sz w:val="22"/>
          <w:szCs w:val="22"/>
          <w:lang w:val="cs-CZ"/>
        </w:rPr>
        <w:t xml:space="preserve"> na </w:t>
      </w:r>
      <w:proofErr w:type="spellStart"/>
      <w:r w:rsidR="00FF70D1">
        <w:rPr>
          <w:rFonts w:ascii="Arial" w:hAnsi="Arial" w:cs="Arial"/>
          <w:color w:val="000000"/>
          <w:sz w:val="22"/>
          <w:szCs w:val="22"/>
          <w:lang w:val="cs-CZ"/>
        </w:rPr>
        <w:t>Mandavě</w:t>
      </w:r>
      <w:proofErr w:type="spellEnd"/>
      <w:r w:rsidR="003E0A92">
        <w:rPr>
          <w:rFonts w:ascii="Arial" w:hAnsi="Arial" w:cs="Arial"/>
          <w:color w:val="000000"/>
          <w:sz w:val="22"/>
          <w:szCs w:val="22"/>
          <w:lang w:val="cs-CZ"/>
        </w:rPr>
        <w:t xml:space="preserve"> v ř. km </w:t>
      </w:r>
      <w:r w:rsidR="00FF70D1">
        <w:rPr>
          <w:rFonts w:ascii="Arial" w:hAnsi="Arial" w:cs="Arial"/>
          <w:color w:val="000000"/>
          <w:sz w:val="22"/>
          <w:szCs w:val="22"/>
          <w:lang w:val="cs-CZ"/>
        </w:rPr>
        <w:t>4,4150</w:t>
      </w:r>
      <w:r w:rsidR="004E3819" w:rsidRPr="00D4315E">
        <w:rPr>
          <w:rFonts w:ascii="Arial" w:hAnsi="Arial" w:cs="Arial"/>
          <w:color w:val="000000"/>
          <w:sz w:val="22"/>
          <w:szCs w:val="22"/>
          <w:lang w:val="cs-CZ"/>
        </w:rPr>
        <w:t xml:space="preserve"> se zvážení</w:t>
      </w:r>
      <w:r w:rsidR="00D4315E">
        <w:rPr>
          <w:rFonts w:ascii="Arial" w:hAnsi="Arial" w:cs="Arial"/>
          <w:color w:val="000000"/>
          <w:sz w:val="22"/>
          <w:szCs w:val="22"/>
          <w:lang w:val="cs-CZ"/>
        </w:rPr>
        <w:t>m</w:t>
      </w:r>
      <w:r w:rsidR="004E3819" w:rsidRPr="00D4315E">
        <w:rPr>
          <w:rFonts w:ascii="Arial" w:hAnsi="Arial" w:cs="Arial"/>
          <w:color w:val="000000"/>
          <w:sz w:val="22"/>
          <w:szCs w:val="22"/>
          <w:lang w:val="cs-CZ"/>
        </w:rPr>
        <w:t xml:space="preserve"> </w:t>
      </w:r>
      <w:r w:rsidR="00FF70D1">
        <w:rPr>
          <w:rFonts w:ascii="Arial" w:hAnsi="Arial" w:cs="Arial"/>
          <w:color w:val="000000"/>
          <w:sz w:val="22"/>
          <w:szCs w:val="22"/>
          <w:lang w:val="cs-CZ"/>
        </w:rPr>
        <w:t xml:space="preserve">navržení </w:t>
      </w:r>
      <w:r w:rsidR="004E3819" w:rsidRPr="00D4315E">
        <w:rPr>
          <w:rFonts w:ascii="Arial" w:hAnsi="Arial" w:cs="Arial"/>
          <w:color w:val="000000"/>
          <w:sz w:val="22"/>
          <w:szCs w:val="22"/>
          <w:lang w:val="cs-CZ"/>
        </w:rPr>
        <w:t xml:space="preserve">jeho hydraulicky vhodnějšího tvaru. Stávající </w:t>
      </w:r>
      <w:r w:rsidR="004E3819" w:rsidRPr="00D4315E">
        <w:rPr>
          <w:rFonts w:ascii="Arial" w:eastAsia="Arial CE" w:hAnsi="Arial" w:cs="Arial"/>
          <w:sz w:val="22"/>
          <w:szCs w:val="22"/>
          <w:lang w:val="cs-CZ"/>
        </w:rPr>
        <w:t>p</w:t>
      </w:r>
      <w:r w:rsidR="00A97B34" w:rsidRPr="00D4315E">
        <w:rPr>
          <w:rFonts w:ascii="Arial" w:eastAsia="Arial CE" w:hAnsi="Arial" w:cs="Arial"/>
          <w:sz w:val="22"/>
          <w:szCs w:val="22"/>
          <w:lang w:val="cs-CZ"/>
        </w:rPr>
        <w:t xml:space="preserve">ilíř je zhotoven ze </w:t>
      </w:r>
      <w:r w:rsidR="004E3819" w:rsidRPr="00D4315E">
        <w:rPr>
          <w:rFonts w:ascii="Arial" w:eastAsia="Arial CE" w:hAnsi="Arial" w:cs="Arial"/>
          <w:sz w:val="22"/>
          <w:szCs w:val="22"/>
          <w:lang w:val="cs-CZ"/>
        </w:rPr>
        <w:t>žulových kamenořezů, výplň</w:t>
      </w:r>
      <w:r w:rsidR="00A97B34" w:rsidRPr="00D4315E">
        <w:rPr>
          <w:rFonts w:ascii="Arial" w:eastAsia="Arial CE" w:hAnsi="Arial" w:cs="Arial"/>
          <w:sz w:val="22"/>
          <w:szCs w:val="22"/>
          <w:lang w:val="cs-CZ"/>
        </w:rPr>
        <w:t xml:space="preserve"> není známa. Průsaky </w:t>
      </w:r>
      <w:r w:rsidR="00F62A65" w:rsidRPr="00D4315E">
        <w:rPr>
          <w:rFonts w:ascii="Arial" w:eastAsia="Arial CE" w:hAnsi="Arial" w:cs="Arial"/>
          <w:sz w:val="22"/>
          <w:szCs w:val="22"/>
          <w:lang w:val="cs-CZ"/>
        </w:rPr>
        <w:t>jsou měřeny</w:t>
      </w:r>
      <w:r w:rsidR="003E0A92">
        <w:rPr>
          <w:rFonts w:ascii="Arial" w:eastAsia="Arial CE" w:hAnsi="Arial" w:cs="Arial"/>
          <w:sz w:val="22"/>
          <w:szCs w:val="22"/>
          <w:lang w:val="cs-CZ"/>
        </w:rPr>
        <w:t xml:space="preserve"> od r. 2017 </w:t>
      </w:r>
      <w:r w:rsidR="00F62A65" w:rsidRPr="00D4315E">
        <w:rPr>
          <w:rFonts w:ascii="Arial" w:eastAsia="Arial CE" w:hAnsi="Arial" w:cs="Arial"/>
          <w:sz w:val="22"/>
          <w:szCs w:val="22"/>
          <w:lang w:val="cs-CZ"/>
        </w:rPr>
        <w:t>a</w:t>
      </w:r>
      <w:r w:rsidR="00A97B34" w:rsidRPr="00D4315E">
        <w:rPr>
          <w:rFonts w:ascii="Arial" w:eastAsia="Arial CE" w:hAnsi="Arial" w:cs="Arial"/>
          <w:sz w:val="22"/>
          <w:szCs w:val="22"/>
          <w:lang w:val="cs-CZ"/>
        </w:rPr>
        <w:t xml:space="preserve"> činí 0,6 - 0,8 l/s. </w:t>
      </w:r>
      <w:r w:rsidR="004E3819" w:rsidRPr="00D4315E">
        <w:rPr>
          <w:rFonts w:ascii="Arial" w:eastAsia="Arial CE" w:hAnsi="Arial" w:cs="Arial"/>
          <w:sz w:val="22"/>
          <w:szCs w:val="22"/>
          <w:lang w:val="cs-CZ"/>
        </w:rPr>
        <w:t>P</w:t>
      </w:r>
      <w:r w:rsidR="00D4315E">
        <w:rPr>
          <w:rFonts w:ascii="Arial" w:eastAsia="Arial CE" w:hAnsi="Arial" w:cs="Arial"/>
          <w:sz w:val="22"/>
          <w:szCs w:val="22"/>
          <w:lang w:val="cs-CZ"/>
        </w:rPr>
        <w:t>ři</w:t>
      </w:r>
      <w:r w:rsidR="004E3819" w:rsidRPr="00D4315E">
        <w:rPr>
          <w:rFonts w:ascii="Arial" w:eastAsia="Arial CE" w:hAnsi="Arial" w:cs="Arial"/>
          <w:sz w:val="22"/>
          <w:szCs w:val="22"/>
          <w:lang w:val="cs-CZ"/>
        </w:rPr>
        <w:t xml:space="preserve"> vypuštění zdrže v rámci mimořádné manipulace byla zjištěna p</w:t>
      </w:r>
      <w:r w:rsidR="00A97B34" w:rsidRPr="00D4315E">
        <w:rPr>
          <w:rFonts w:ascii="Arial" w:eastAsia="Arial CE" w:hAnsi="Arial" w:cs="Arial"/>
          <w:sz w:val="22"/>
          <w:szCs w:val="22"/>
          <w:lang w:val="cs-CZ"/>
        </w:rPr>
        <w:t xml:space="preserve">referenční cesta na návodním líci pod úrovní běžné hladiny. Pilíř je </w:t>
      </w:r>
      <w:r w:rsidR="004E3819" w:rsidRPr="00D4315E">
        <w:rPr>
          <w:rFonts w:ascii="Arial" w:eastAsia="Arial CE" w:hAnsi="Arial" w:cs="Arial"/>
          <w:sz w:val="22"/>
          <w:szCs w:val="22"/>
          <w:lang w:val="cs-CZ"/>
        </w:rPr>
        <w:t xml:space="preserve">dosud </w:t>
      </w:r>
      <w:r w:rsidR="00A97B34" w:rsidRPr="00D4315E">
        <w:rPr>
          <w:rFonts w:ascii="Arial" w:eastAsia="Arial CE" w:hAnsi="Arial" w:cs="Arial"/>
          <w:sz w:val="22"/>
          <w:szCs w:val="22"/>
          <w:lang w:val="cs-CZ"/>
        </w:rPr>
        <w:t xml:space="preserve">stavebně bez </w:t>
      </w:r>
      <w:r w:rsidR="004E3819" w:rsidRPr="00D4315E">
        <w:rPr>
          <w:rFonts w:ascii="Arial" w:eastAsia="Arial CE" w:hAnsi="Arial" w:cs="Arial"/>
          <w:sz w:val="22"/>
          <w:szCs w:val="22"/>
          <w:lang w:val="cs-CZ"/>
        </w:rPr>
        <w:t xml:space="preserve">významnějšího zásahu </w:t>
      </w:r>
      <w:r w:rsidR="00A97B34" w:rsidRPr="00D4315E">
        <w:rPr>
          <w:rFonts w:ascii="Arial" w:eastAsia="Arial CE" w:hAnsi="Arial" w:cs="Arial"/>
          <w:sz w:val="22"/>
          <w:szCs w:val="22"/>
          <w:lang w:val="cs-CZ"/>
        </w:rPr>
        <w:t xml:space="preserve">v jeho historii </w:t>
      </w:r>
      <w:r w:rsidR="00F62A65" w:rsidRPr="00D4315E">
        <w:rPr>
          <w:rFonts w:ascii="Arial" w:eastAsia="Arial CE" w:hAnsi="Arial" w:cs="Arial"/>
          <w:sz w:val="22"/>
          <w:szCs w:val="22"/>
          <w:lang w:val="cs-CZ"/>
        </w:rPr>
        <w:t>(</w:t>
      </w:r>
      <w:r w:rsidR="00FF70D1">
        <w:rPr>
          <w:rFonts w:ascii="Arial" w:eastAsia="Arial CE" w:hAnsi="Arial" w:cs="Arial"/>
          <w:sz w:val="22"/>
          <w:szCs w:val="22"/>
          <w:lang w:val="cs-CZ"/>
        </w:rPr>
        <w:t xml:space="preserve">r. </w:t>
      </w:r>
      <w:r w:rsidR="00F62A65" w:rsidRPr="00D4315E">
        <w:rPr>
          <w:rFonts w:ascii="Arial" w:eastAsia="Arial CE" w:hAnsi="Arial" w:cs="Arial"/>
          <w:sz w:val="22"/>
          <w:szCs w:val="22"/>
          <w:lang w:val="cs-CZ"/>
        </w:rPr>
        <w:t>1926)</w:t>
      </w:r>
      <w:r w:rsidR="00A97B34" w:rsidRPr="00D4315E">
        <w:rPr>
          <w:rFonts w:ascii="Arial" w:eastAsia="Arial CE" w:hAnsi="Arial" w:cs="Arial"/>
          <w:sz w:val="22"/>
          <w:szCs w:val="22"/>
          <w:lang w:val="cs-CZ"/>
        </w:rPr>
        <w:t xml:space="preserve">. </w:t>
      </w:r>
      <w:r w:rsidR="004E3819" w:rsidRPr="003E0A92">
        <w:rPr>
          <w:rFonts w:ascii="Arial" w:hAnsi="Arial" w:cs="Arial"/>
          <w:color w:val="000000"/>
          <w:sz w:val="22"/>
          <w:szCs w:val="22"/>
          <w:lang w:val="cs-CZ"/>
        </w:rPr>
        <w:t>K akci byl zpracován stavebně technický průzkum</w:t>
      </w:r>
      <w:r w:rsidR="00FF70D1">
        <w:rPr>
          <w:rFonts w:ascii="Arial" w:hAnsi="Arial" w:cs="Arial"/>
          <w:color w:val="000000"/>
          <w:sz w:val="22"/>
          <w:szCs w:val="22"/>
          <w:lang w:val="cs-CZ"/>
        </w:rPr>
        <w:t xml:space="preserve"> </w:t>
      </w:r>
      <w:r w:rsidR="003E0A92" w:rsidRPr="003E0A92">
        <w:rPr>
          <w:rFonts w:ascii="Arial" w:hAnsi="Arial" w:cs="Arial"/>
          <w:color w:val="000000"/>
          <w:sz w:val="22"/>
          <w:szCs w:val="22"/>
          <w:lang w:val="cs-CZ"/>
        </w:rPr>
        <w:t>v 03/2018</w:t>
      </w:r>
      <w:r w:rsidR="004E3819" w:rsidRPr="003E0A92">
        <w:rPr>
          <w:rFonts w:ascii="Arial" w:hAnsi="Arial" w:cs="Arial"/>
          <w:color w:val="000000"/>
          <w:sz w:val="22"/>
          <w:szCs w:val="22"/>
          <w:lang w:val="cs-CZ"/>
        </w:rPr>
        <w:t xml:space="preserve">. </w:t>
      </w:r>
      <w:r w:rsidR="003E0A92" w:rsidRPr="003E0A92">
        <w:rPr>
          <w:rFonts w:ascii="Arial" w:hAnsi="Arial" w:cs="Arial"/>
          <w:bCs/>
          <w:color w:val="000000"/>
          <w:sz w:val="22"/>
          <w:szCs w:val="22"/>
          <w:lang w:val="cs-CZ"/>
        </w:rPr>
        <w:t xml:space="preserve">Akce bude probíhat na pozemku p. č. 8186/11 v k. </w:t>
      </w:r>
      <w:proofErr w:type="spellStart"/>
      <w:r w:rsidR="003E0A92" w:rsidRPr="003E0A92">
        <w:rPr>
          <w:rFonts w:ascii="Arial" w:hAnsi="Arial" w:cs="Arial"/>
          <w:bCs/>
          <w:color w:val="000000"/>
          <w:sz w:val="22"/>
          <w:szCs w:val="22"/>
          <w:lang w:val="cs-CZ"/>
        </w:rPr>
        <w:t>ú.</w:t>
      </w:r>
      <w:proofErr w:type="spellEnd"/>
      <w:r w:rsidR="003E0A92" w:rsidRPr="003E0A92">
        <w:rPr>
          <w:rFonts w:ascii="Arial" w:hAnsi="Arial" w:cs="Arial"/>
          <w:bCs/>
          <w:color w:val="000000"/>
          <w:sz w:val="22"/>
          <w:szCs w:val="22"/>
          <w:lang w:val="cs-CZ"/>
        </w:rPr>
        <w:t xml:space="preserve"> Varnsdorf, který je ve správě Povodí Ohře, s. p.</w:t>
      </w:r>
    </w:p>
    <w:p w:rsidR="0048473A" w:rsidRPr="002F5E17" w:rsidRDefault="0048473A" w:rsidP="0048473A">
      <w:pPr>
        <w:jc w:val="both"/>
        <w:rPr>
          <w:rFonts w:ascii="Arial" w:eastAsia="Arial CE" w:hAnsi="Arial" w:cs="Arial"/>
          <w:sz w:val="22"/>
          <w:szCs w:val="22"/>
        </w:rPr>
      </w:pPr>
    </w:p>
    <w:p w:rsidR="000E7394" w:rsidRDefault="0048473A" w:rsidP="000E7394">
      <w:pPr>
        <w:jc w:val="both"/>
        <w:rPr>
          <w:rFonts w:ascii="Arial" w:eastAsia="Arial CE" w:hAnsi="Arial" w:cs="Arial"/>
          <w:sz w:val="22"/>
          <w:szCs w:val="22"/>
        </w:rPr>
      </w:pPr>
      <w:r w:rsidRPr="002F5E17">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w:t>
      </w:r>
      <w:r w:rsidR="000E7394" w:rsidRPr="000E7394">
        <w:rPr>
          <w:rFonts w:ascii="Arial" w:eastAsia="Arial CE" w:hAnsi="Arial" w:cs="Arial"/>
          <w:sz w:val="22"/>
          <w:szCs w:val="22"/>
        </w:rPr>
        <w:t xml:space="preserve">Dále je součástí dokladové části </w:t>
      </w:r>
      <w:proofErr w:type="spellStart"/>
      <w:r w:rsidR="000E7394" w:rsidRPr="000E7394">
        <w:rPr>
          <w:rFonts w:ascii="Arial" w:eastAsia="Arial CE" w:hAnsi="Arial" w:cs="Arial"/>
          <w:sz w:val="22"/>
          <w:szCs w:val="22"/>
        </w:rPr>
        <w:t>takzv</w:t>
      </w:r>
      <w:proofErr w:type="spellEnd"/>
      <w:r w:rsidR="000E7394" w:rsidRPr="000E7394">
        <w:rPr>
          <w:rFonts w:ascii="Arial" w:eastAsia="Arial CE" w:hAnsi="Arial" w:cs="Arial"/>
          <w:sz w:val="22"/>
          <w:szCs w:val="22"/>
        </w:rPr>
        <w:t>.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r w:rsidR="000E7394">
        <w:rPr>
          <w:rFonts w:ascii="Arial" w:eastAsia="Arial CE" w:hAnsi="Arial" w:cs="Arial"/>
          <w:sz w:val="22"/>
          <w:szCs w:val="22"/>
        </w:rPr>
        <w:t xml:space="preserve"> Dále jsou součástí dokladové části posudky, výsledky jednání, zápisy nebo záznamy</w:t>
      </w:r>
      <w:r w:rsidR="000E7394" w:rsidRPr="002F5E17">
        <w:rPr>
          <w:rFonts w:ascii="Arial" w:eastAsia="Arial CE" w:hAnsi="Arial" w:cs="Arial"/>
          <w:sz w:val="22"/>
          <w:szCs w:val="22"/>
        </w:rPr>
        <w:t xml:space="preserve"> z výrobních výborů se zástupci objednatele.</w:t>
      </w:r>
      <w:r w:rsidR="000E7394">
        <w:rPr>
          <w:rFonts w:ascii="Arial" w:eastAsia="Arial CE" w:hAnsi="Arial" w:cs="Arial"/>
          <w:sz w:val="22"/>
          <w:szCs w:val="22"/>
        </w:rPr>
        <w:t xml:space="preserve"> </w:t>
      </w:r>
    </w:p>
    <w:p w:rsidR="0048473A" w:rsidRDefault="0048473A" w:rsidP="0048473A">
      <w:pPr>
        <w:jc w:val="both"/>
        <w:rPr>
          <w:rFonts w:ascii="Arial" w:eastAsia="Arial CE" w:hAnsi="Arial" w:cs="Arial"/>
          <w:sz w:val="22"/>
          <w:szCs w:val="22"/>
        </w:rPr>
      </w:pPr>
    </w:p>
    <w:p w:rsidR="0048473A" w:rsidRPr="0048473A" w:rsidRDefault="0048473A" w:rsidP="00B3162A">
      <w:pPr>
        <w:rPr>
          <w:rFonts w:ascii="Arial" w:eastAsia="Arial CE" w:hAnsi="Arial" w:cs="Arial"/>
          <w:sz w:val="22"/>
          <w:szCs w:val="22"/>
        </w:rPr>
      </w:pPr>
    </w:p>
    <w:p w:rsidR="000E66E5" w:rsidRPr="00DC23F4" w:rsidRDefault="000E66E5" w:rsidP="00B3162A">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48473A" w:rsidRPr="000E66E5" w:rsidRDefault="0048473A" w:rsidP="00421659">
      <w:pPr>
        <w:ind w:left="426"/>
        <w:jc w:val="both"/>
        <w:rPr>
          <w:rFonts w:ascii="Arial" w:eastAsia="Arial CE" w:hAnsi="Arial" w:cs="Arial"/>
          <w:color w:val="000000"/>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lastRenderedPageBreak/>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4760F" w:rsidRDefault="00A4760F" w:rsidP="00A4760F">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 xml:space="preserve">Nad rámec povinných částí ve smyslu vyhlášky č. 499/2006 Sb., v platném znění </w:t>
      </w:r>
      <w:r w:rsidRPr="00A95BED">
        <w:rPr>
          <w:rFonts w:ascii="Arial" w:hAnsi="Arial" w:cs="Arial"/>
          <w:sz w:val="22"/>
          <w:szCs w:val="22"/>
          <w:u w:val="single"/>
        </w:rPr>
        <w:t>požadujeme zpracovat:</w:t>
      </w:r>
    </w:p>
    <w:p w:rsidR="00537780" w:rsidRPr="00537780" w:rsidRDefault="00537780" w:rsidP="00B806B5">
      <w:pPr>
        <w:pStyle w:val="Odstavecseseznamem"/>
        <w:numPr>
          <w:ilvl w:val="0"/>
          <w:numId w:val="14"/>
        </w:numPr>
        <w:rPr>
          <w:rFonts w:ascii="Arial" w:hAnsi="Arial" w:cs="Arial"/>
          <w:sz w:val="22"/>
          <w:szCs w:val="22"/>
        </w:rPr>
      </w:pPr>
      <w:r w:rsidRPr="00537780">
        <w:rPr>
          <w:rFonts w:ascii="Arial" w:hAnsi="Arial" w:cs="Arial"/>
          <w:sz w:val="22"/>
          <w:szCs w:val="22"/>
        </w:rPr>
        <w:t xml:space="preserve">Povodňový plán stavby (PP) -  1x paré tištěné a 1 x na CD pro doplnění zhotovitelem (_.doc). </w:t>
      </w:r>
    </w:p>
    <w:p w:rsidR="00537780" w:rsidRPr="00537780" w:rsidRDefault="00537780" w:rsidP="00B806B5">
      <w:pPr>
        <w:pStyle w:val="Odstavecseseznamem"/>
        <w:numPr>
          <w:ilvl w:val="0"/>
          <w:numId w:val="14"/>
        </w:numPr>
        <w:autoSpaceDE w:val="0"/>
        <w:autoSpaceDN w:val="0"/>
        <w:adjustRightInd w:val="0"/>
        <w:jc w:val="both"/>
        <w:rPr>
          <w:rFonts w:ascii="Arial" w:hAnsi="Arial" w:cs="Arial"/>
          <w:sz w:val="22"/>
          <w:szCs w:val="22"/>
        </w:rPr>
      </w:pPr>
      <w:r w:rsidRPr="00537780">
        <w:rPr>
          <w:rFonts w:ascii="Arial" w:hAnsi="Arial" w:cs="Arial"/>
          <w:sz w:val="22"/>
          <w:szCs w:val="22"/>
        </w:rPr>
        <w:t xml:space="preserve">Plán havarijních opatření na staveništi (HP) -1x paré tištěné a 1x na CD pro doplnění zhotovitelem (_.doc). </w:t>
      </w:r>
    </w:p>
    <w:p w:rsidR="00AA5480" w:rsidRPr="00AA5480" w:rsidRDefault="00AA5480" w:rsidP="00AA5480">
      <w:pPr>
        <w:pStyle w:val="Odstavecseseznamem"/>
        <w:numPr>
          <w:ilvl w:val="0"/>
          <w:numId w:val="12"/>
        </w:numPr>
        <w:autoSpaceDE w:val="0"/>
        <w:autoSpaceDN w:val="0"/>
        <w:adjustRightInd w:val="0"/>
        <w:jc w:val="both"/>
        <w:rPr>
          <w:rFonts w:ascii="Arial" w:hAnsi="Arial" w:cs="Arial"/>
          <w:sz w:val="22"/>
          <w:szCs w:val="22"/>
        </w:rPr>
      </w:pPr>
      <w:r w:rsidRPr="00AA5480">
        <w:rPr>
          <w:rFonts w:ascii="Arial" w:hAnsi="Arial" w:cs="Arial"/>
          <w:sz w:val="22"/>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Soupis prací se zpracuje 6x do každého tištěného paré PD. Oceněný soupis prací- 2x paré tištěné a vloží se do </w:t>
      </w:r>
      <w:proofErr w:type="gramStart"/>
      <w:r w:rsidRPr="00AA5480">
        <w:rPr>
          <w:rFonts w:ascii="Arial" w:hAnsi="Arial" w:cs="Arial"/>
          <w:sz w:val="22"/>
          <w:szCs w:val="22"/>
        </w:rPr>
        <w:t>paré</w:t>
      </w:r>
      <w:proofErr w:type="gramEnd"/>
      <w:r w:rsidRPr="00AA5480">
        <w:rPr>
          <w:rFonts w:ascii="Arial" w:hAnsi="Arial" w:cs="Arial"/>
          <w:sz w:val="22"/>
          <w:szCs w:val="22"/>
        </w:rPr>
        <w:t xml:space="preserve"> č. 1 a č. 2 PD. Dále se dodá a 1x na CD.</w:t>
      </w:r>
    </w:p>
    <w:p w:rsidR="00AA5480" w:rsidRPr="00AA5480" w:rsidRDefault="00AA5480" w:rsidP="00AA5480">
      <w:pPr>
        <w:pStyle w:val="Odstavecseseznamem"/>
        <w:autoSpaceDE w:val="0"/>
        <w:autoSpaceDN w:val="0"/>
        <w:adjustRightInd w:val="0"/>
        <w:ind w:left="360"/>
        <w:jc w:val="both"/>
        <w:rPr>
          <w:rFonts w:ascii="Arial" w:hAnsi="Arial" w:cs="Arial"/>
          <w:sz w:val="22"/>
          <w:szCs w:val="22"/>
        </w:rPr>
      </w:pPr>
      <w:r w:rsidRPr="00AA5480">
        <w:rPr>
          <w:rFonts w:ascii="Arial" w:hAnsi="Arial" w:cs="Arial"/>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w:t>
      </w:r>
      <w:r w:rsidRPr="00AA5480">
        <w:rPr>
          <w:rFonts w:ascii="Arial" w:hAnsi="Arial" w:cs="Arial"/>
          <w:b/>
          <w:sz w:val="22"/>
          <w:szCs w:val="22"/>
        </w:rPr>
        <w:t xml:space="preserve"> kalkulace</w:t>
      </w:r>
      <w:r w:rsidRPr="00AA5480">
        <w:rPr>
          <w:rFonts w:ascii="Arial" w:hAnsi="Arial" w:cs="Arial"/>
          <w:sz w:val="22"/>
          <w:szCs w:val="22"/>
        </w:rPr>
        <w:t xml:space="preserve"> každé takovéto položky.</w:t>
      </w:r>
    </w:p>
    <w:p w:rsidR="00F770AD" w:rsidRPr="00A95BED" w:rsidRDefault="00F770AD" w:rsidP="00B806B5">
      <w:pPr>
        <w:pStyle w:val="Odstavecseseznamem"/>
        <w:numPr>
          <w:ilvl w:val="0"/>
          <w:numId w:val="12"/>
        </w:numPr>
        <w:autoSpaceDE w:val="0"/>
        <w:autoSpaceDN w:val="0"/>
        <w:adjustRightInd w:val="0"/>
        <w:jc w:val="both"/>
        <w:rPr>
          <w:rFonts w:ascii="Arial" w:hAnsi="Arial" w:cs="Arial"/>
          <w:sz w:val="22"/>
          <w:szCs w:val="22"/>
        </w:rPr>
      </w:pPr>
      <w:r w:rsidRPr="00A95BED">
        <w:rPr>
          <w:rFonts w:ascii="Arial" w:hAnsi="Arial" w:cs="Arial"/>
          <w:sz w:val="22"/>
          <w:szCs w:val="22"/>
        </w:rPr>
        <w:t>Hydrotechnické výpočty</w:t>
      </w:r>
    </w:p>
    <w:p w:rsidR="007E6E13" w:rsidRPr="00F770AD"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F770AD">
        <w:rPr>
          <w:rFonts w:ascii="Arial" w:eastAsia="Arial CE" w:hAnsi="Arial" w:cs="Arial"/>
          <w:sz w:val="22"/>
          <w:szCs w:val="22"/>
        </w:rPr>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B80F9A" w:rsidRPr="00B80F9A" w:rsidRDefault="00B80F9A"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045F76" w:rsidRDefault="00045F76" w:rsidP="00A87606">
      <w:pPr>
        <w:jc w:val="both"/>
        <w:rPr>
          <w:rFonts w:ascii="Arial" w:eastAsia="Arial CE" w:hAnsi="Arial" w:cs="Arial"/>
          <w:b/>
          <w:sz w:val="22"/>
          <w:szCs w:val="22"/>
        </w:rPr>
      </w:pPr>
    </w:p>
    <w:p w:rsidR="000E7394" w:rsidRDefault="000E7394" w:rsidP="00A87606">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v</w:t>
      </w:r>
      <w:r w:rsidR="00755364">
        <w:rPr>
          <w:rFonts w:ascii="Arial" w:eastAsia="Arial CE" w:hAnsi="Arial" w:cs="Arial"/>
          <w:sz w:val="22"/>
          <w:szCs w:val="22"/>
        </w:rPr>
        <w:t xml:space="preserve">ždy minimálně 2 výrobní výbory (vstupní a závěrečný VV).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Pr="00C92B2F">
        <w:rPr>
          <w:rFonts w:ascii="Arial CE" w:hAnsi="Arial CE" w:cs="Arial"/>
          <w:sz w:val="22"/>
          <w:szCs w:val="22"/>
        </w:rPr>
        <w:t>do 14 týdnů</w:t>
      </w:r>
      <w:r w:rsidRPr="00BE6EF2">
        <w:rPr>
          <w:rFonts w:ascii="Arial CE" w:hAnsi="Arial CE" w:cs="Arial"/>
          <w:sz w:val="22"/>
          <w:szCs w:val="22"/>
        </w:rPr>
        <w:t xml:space="preserve"> </w:t>
      </w:r>
      <w:r w:rsidR="00917673">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k</w:t>
      </w:r>
      <w:r w:rsidR="00917673">
        <w:rPr>
          <w:rFonts w:ascii="Arial CE" w:hAnsi="Arial CE" w:cs="Arial"/>
          <w:sz w:val="22"/>
          <w:szCs w:val="22"/>
        </w:rPr>
        <w:t xml:space="preserve"> jeho </w:t>
      </w:r>
      <w:r>
        <w:rPr>
          <w:rFonts w:ascii="Arial CE" w:hAnsi="Arial CE" w:cs="Arial"/>
          <w:sz w:val="22"/>
          <w:szCs w:val="22"/>
        </w:rPr>
        <w:t xml:space="preserve">odsouhlasení </w:t>
      </w:r>
      <w:r>
        <w:rPr>
          <w:rFonts w:ascii="Arial CE" w:hAnsi="Arial CE" w:cs="Arial"/>
          <w:sz w:val="22"/>
          <w:szCs w:val="22"/>
        </w:rPr>
        <w:lastRenderedPageBreak/>
        <w:t xml:space="preserve">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C92B2F" w:rsidRPr="001D7A19"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C92B2F" w:rsidRDefault="00C92B2F" w:rsidP="00C92B2F">
      <w:pPr>
        <w:widowControl w:val="0"/>
        <w:jc w:val="both"/>
        <w:rPr>
          <w:rFonts w:ascii="Arial CE" w:hAnsi="Arial CE" w:cs="Arial"/>
          <w:sz w:val="22"/>
          <w:szCs w:val="22"/>
        </w:rPr>
      </w:pPr>
    </w:p>
    <w:p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nejpozději 10</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C92B2F" w:rsidRPr="006E033D" w:rsidRDefault="00C92B2F" w:rsidP="00B806B5">
      <w:pPr>
        <w:pStyle w:val="Odstavecseseznamem"/>
        <w:widowControl w:val="0"/>
        <w:numPr>
          <w:ilvl w:val="0"/>
          <w:numId w:val="6"/>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r w:rsidRPr="006E033D">
        <w:rPr>
          <w:rFonts w:ascii="Arial CE" w:hAnsi="Arial CE" w:cs="Arial"/>
          <w:sz w:val="22"/>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B806B5">
      <w:pPr>
        <w:pStyle w:val="Odstavecseseznamem"/>
        <w:widowControl w:val="0"/>
        <w:numPr>
          <w:ilvl w:val="0"/>
          <w:numId w:val="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C92B2F"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r w:rsidRPr="001D7A19">
        <w:rPr>
          <w:rFonts w:ascii="Arial CE" w:hAnsi="Arial CE" w:cs="Arial"/>
          <w:sz w:val="22"/>
          <w:szCs w:val="22"/>
        </w:rPr>
        <w:t>paré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C92B2F" w:rsidRDefault="00C92B2F" w:rsidP="00C92B2F">
      <w:pPr>
        <w:widowControl w:val="0"/>
        <w:jc w:val="both"/>
        <w:rPr>
          <w:rFonts w:ascii="Arial CE" w:hAnsi="Arial CE" w:cs="Arial"/>
          <w:sz w:val="22"/>
          <w:szCs w:val="22"/>
        </w:rPr>
      </w:pPr>
    </w:p>
    <w:p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paré </w:t>
      </w:r>
      <w:r w:rsidRPr="001D7A19">
        <w:rPr>
          <w:rFonts w:ascii="Arial CE" w:hAnsi="Arial CE" w:cs="Arial"/>
          <w:sz w:val="22"/>
          <w:szCs w:val="22"/>
        </w:rPr>
        <w:t xml:space="preserve">tištěné + 1x na elektronickém nosiči dat. </w:t>
      </w:r>
    </w:p>
    <w:p w:rsidR="00C92B2F" w:rsidRPr="001D7A19" w:rsidRDefault="00C92B2F" w:rsidP="00C92B2F">
      <w:pPr>
        <w:widowControl w:val="0"/>
        <w:jc w:val="both"/>
        <w:rPr>
          <w:rFonts w:ascii="Arial CE" w:hAnsi="Arial CE"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436973" w:rsidRPr="00C92B2F" w:rsidRDefault="00A87606" w:rsidP="00C92B2F">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 xml:space="preserve">následně zajistí zpracování </w:t>
      </w:r>
      <w:r w:rsidRPr="00A87606">
        <w:rPr>
          <w:rFonts w:ascii="Arial" w:hAnsi="Arial" w:cs="Arial"/>
          <w:sz w:val="22"/>
          <w:szCs w:val="22"/>
        </w:rPr>
        <w:lastRenderedPageBreak/>
        <w:t>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585D2E" w:rsidRDefault="006B2A53" w:rsidP="006731EF">
      <w:pPr>
        <w:autoSpaceDE w:val="0"/>
        <w:autoSpaceDN w:val="0"/>
        <w:adjustRightInd w:val="0"/>
        <w:ind w:left="7080" w:hanging="7080"/>
        <w:rPr>
          <w:rFonts w:ascii="Arial CE" w:hAnsi="Arial CE" w:cs="Arial"/>
          <w:sz w:val="22"/>
          <w:szCs w:val="22"/>
        </w:rPr>
      </w:pPr>
      <w:r w:rsidRPr="00585D2E">
        <w:rPr>
          <w:rFonts w:ascii="Arial CE" w:hAnsi="Arial CE" w:cs="Arial"/>
          <w:sz w:val="22"/>
          <w:szCs w:val="22"/>
        </w:rPr>
        <w:t>Dílčí termín</w:t>
      </w:r>
      <w:r w:rsidR="008F1A46" w:rsidRPr="00585D2E">
        <w:rPr>
          <w:rFonts w:ascii="Arial CE" w:hAnsi="Arial CE" w:cs="Arial"/>
          <w:sz w:val="22"/>
          <w:szCs w:val="22"/>
        </w:rPr>
        <w:t xml:space="preserve"> </w:t>
      </w:r>
      <w:r w:rsidR="00FA40A9" w:rsidRPr="00585D2E">
        <w:rPr>
          <w:rFonts w:ascii="Arial CE" w:eastAsia="Arial CE" w:hAnsi="Arial CE" w:cs="Arial CE"/>
          <w:sz w:val="22"/>
          <w:szCs w:val="22"/>
        </w:rPr>
        <w:t xml:space="preserve">(předání a převzetí </w:t>
      </w:r>
      <w:r w:rsidR="00755570" w:rsidRPr="00585D2E">
        <w:rPr>
          <w:rFonts w:ascii="Arial CE" w:eastAsia="Arial CE" w:hAnsi="Arial CE" w:cs="Arial CE"/>
          <w:sz w:val="22"/>
          <w:szCs w:val="22"/>
        </w:rPr>
        <w:t>2 paré PD po</w:t>
      </w:r>
      <w:r w:rsidR="00E002C4" w:rsidRPr="00585D2E">
        <w:rPr>
          <w:rFonts w:ascii="Arial CE" w:eastAsia="Arial CE" w:hAnsi="Arial CE" w:cs="Arial CE"/>
          <w:sz w:val="22"/>
          <w:szCs w:val="22"/>
        </w:rPr>
        <w:t xml:space="preserve"> projednání na </w:t>
      </w:r>
      <w:r w:rsidR="00755570" w:rsidRPr="00585D2E">
        <w:rPr>
          <w:rFonts w:ascii="Arial CE" w:eastAsia="Arial CE" w:hAnsi="Arial CE" w:cs="Arial CE"/>
          <w:sz w:val="22"/>
          <w:szCs w:val="22"/>
        </w:rPr>
        <w:t>ZVV</w:t>
      </w:r>
      <w:r w:rsidR="00D149AD" w:rsidRPr="00585D2E">
        <w:rPr>
          <w:rFonts w:ascii="Arial CE" w:eastAsia="Arial CE" w:hAnsi="Arial CE" w:cs="Arial CE"/>
          <w:sz w:val="22"/>
          <w:szCs w:val="22"/>
        </w:rPr>
        <w:t>)</w:t>
      </w:r>
      <w:r w:rsidR="008F1A46" w:rsidRPr="00585D2E">
        <w:rPr>
          <w:rFonts w:ascii="Arial CE" w:hAnsi="Arial CE" w:cs="Arial"/>
          <w:sz w:val="22"/>
          <w:szCs w:val="22"/>
        </w:rPr>
        <w:t xml:space="preserve">:    </w:t>
      </w:r>
      <w:r w:rsidR="00FB25F1" w:rsidRPr="00585D2E">
        <w:rPr>
          <w:rFonts w:ascii="Arial CE" w:hAnsi="Arial CE" w:cs="Arial"/>
          <w:sz w:val="22"/>
          <w:szCs w:val="22"/>
        </w:rPr>
        <w:tab/>
      </w:r>
      <w:r w:rsidR="000C3883" w:rsidRPr="00585D2E">
        <w:rPr>
          <w:rFonts w:ascii="Arial CE" w:hAnsi="Arial CE" w:cs="Arial"/>
          <w:sz w:val="22"/>
          <w:szCs w:val="22"/>
        </w:rPr>
        <w:t xml:space="preserve">do </w:t>
      </w:r>
      <w:proofErr w:type="gramStart"/>
      <w:r w:rsidR="00585D2E" w:rsidRPr="00585D2E">
        <w:rPr>
          <w:rFonts w:ascii="Arial CE" w:hAnsi="Arial CE" w:cs="Arial"/>
          <w:b/>
          <w:sz w:val="22"/>
          <w:szCs w:val="22"/>
        </w:rPr>
        <w:t>28.02</w:t>
      </w:r>
      <w:r w:rsidR="00755570" w:rsidRPr="00585D2E">
        <w:rPr>
          <w:rFonts w:ascii="Arial CE" w:hAnsi="Arial CE" w:cs="Arial"/>
          <w:b/>
          <w:sz w:val="22"/>
          <w:szCs w:val="22"/>
        </w:rPr>
        <w:t>.201</w:t>
      </w:r>
      <w:r w:rsidR="00585D2E" w:rsidRPr="00585D2E">
        <w:rPr>
          <w:rFonts w:ascii="Arial CE" w:hAnsi="Arial CE" w:cs="Arial"/>
          <w:b/>
          <w:sz w:val="22"/>
          <w:szCs w:val="22"/>
        </w:rPr>
        <w:t>9</w:t>
      </w:r>
      <w:proofErr w:type="gramEnd"/>
    </w:p>
    <w:p w:rsidR="006731EF" w:rsidRPr="00585D2E" w:rsidRDefault="006731EF" w:rsidP="006B2A53">
      <w:pPr>
        <w:autoSpaceDE w:val="0"/>
        <w:autoSpaceDN w:val="0"/>
        <w:adjustRightInd w:val="0"/>
        <w:rPr>
          <w:rFonts w:ascii="Arial CE" w:hAnsi="Arial CE" w:cs="Arial"/>
          <w:sz w:val="22"/>
          <w:szCs w:val="22"/>
        </w:rPr>
      </w:pPr>
    </w:p>
    <w:p w:rsidR="008F1A46" w:rsidRPr="00585D2E" w:rsidRDefault="008F1A46" w:rsidP="00FA40A9">
      <w:pPr>
        <w:autoSpaceDE w:val="0"/>
        <w:autoSpaceDN w:val="0"/>
        <w:adjustRightInd w:val="0"/>
        <w:rPr>
          <w:rFonts w:ascii="Arial CE" w:hAnsi="Arial CE" w:cs="Arial"/>
          <w:sz w:val="22"/>
          <w:szCs w:val="22"/>
        </w:rPr>
      </w:pPr>
    </w:p>
    <w:p w:rsidR="000F6FBC" w:rsidRPr="006731EF" w:rsidRDefault="00D149AD" w:rsidP="006B2A53">
      <w:pPr>
        <w:autoSpaceDE w:val="0"/>
        <w:autoSpaceDN w:val="0"/>
        <w:adjustRightInd w:val="0"/>
        <w:rPr>
          <w:rFonts w:ascii="Arial CE" w:hAnsi="Arial CE" w:cs="Arial"/>
          <w:sz w:val="22"/>
          <w:szCs w:val="22"/>
        </w:rPr>
      </w:pPr>
      <w:r w:rsidRPr="00585D2E">
        <w:rPr>
          <w:rFonts w:ascii="Arial CE" w:eastAsia="Arial CE" w:hAnsi="Arial CE" w:cs="Arial CE"/>
          <w:sz w:val="22"/>
          <w:szCs w:val="22"/>
        </w:rPr>
        <w:t xml:space="preserve">Ukončení díla (po </w:t>
      </w:r>
      <w:r w:rsidR="006B2A53" w:rsidRPr="00585D2E">
        <w:rPr>
          <w:rFonts w:ascii="Arial CE" w:eastAsia="Arial CE" w:hAnsi="Arial CE" w:cs="Arial CE"/>
          <w:sz w:val="22"/>
          <w:szCs w:val="22"/>
        </w:rPr>
        <w:t>schválení v</w:t>
      </w:r>
      <w:r w:rsidR="00FC3E6C" w:rsidRPr="00585D2E">
        <w:rPr>
          <w:rFonts w:ascii="Arial CE" w:eastAsia="Arial CE" w:hAnsi="Arial CE" w:cs="Arial CE"/>
          <w:sz w:val="22"/>
          <w:szCs w:val="22"/>
        </w:rPr>
        <w:t> investiční komisi</w:t>
      </w:r>
      <w:r w:rsidR="0008010B" w:rsidRPr="00585D2E">
        <w:rPr>
          <w:rFonts w:ascii="Arial CE" w:eastAsia="Arial CE" w:hAnsi="Arial CE" w:cs="Arial CE"/>
          <w:sz w:val="22"/>
          <w:szCs w:val="22"/>
        </w:rPr>
        <w:t xml:space="preserve"> objednatele</w:t>
      </w:r>
      <w:r w:rsidRPr="00585D2E">
        <w:rPr>
          <w:rFonts w:ascii="Arial CE" w:eastAsia="Arial CE" w:hAnsi="Arial CE" w:cs="Arial CE"/>
          <w:sz w:val="22"/>
          <w:szCs w:val="22"/>
        </w:rPr>
        <w:t>)</w:t>
      </w:r>
      <w:r w:rsidR="006B2A53" w:rsidRPr="00585D2E">
        <w:rPr>
          <w:rFonts w:ascii="Arial CE" w:eastAsia="Arial CE" w:hAnsi="Arial CE" w:cs="Arial CE"/>
          <w:sz w:val="22"/>
          <w:szCs w:val="22"/>
        </w:rPr>
        <w:t>:</w:t>
      </w:r>
      <w:r w:rsidR="000F6FBC" w:rsidRPr="00585D2E">
        <w:rPr>
          <w:rFonts w:ascii="Arial CE" w:hAnsi="Arial CE" w:cs="Arial"/>
          <w:sz w:val="22"/>
          <w:szCs w:val="22"/>
        </w:rPr>
        <w:tab/>
      </w:r>
      <w:r w:rsidR="006B2A53" w:rsidRPr="00585D2E">
        <w:rPr>
          <w:rFonts w:ascii="Arial CE" w:hAnsi="Arial CE" w:cs="Arial"/>
          <w:sz w:val="22"/>
          <w:szCs w:val="22"/>
        </w:rPr>
        <w:tab/>
      </w:r>
      <w:r w:rsidR="000C3883" w:rsidRPr="00585D2E">
        <w:rPr>
          <w:rFonts w:ascii="Arial CE" w:hAnsi="Arial CE" w:cs="Arial"/>
          <w:sz w:val="22"/>
          <w:szCs w:val="22"/>
        </w:rPr>
        <w:t xml:space="preserve"> </w:t>
      </w:r>
      <w:r w:rsidR="000C3883" w:rsidRPr="00045F76">
        <w:rPr>
          <w:rFonts w:ascii="Arial CE" w:hAnsi="Arial CE" w:cs="Arial"/>
          <w:b/>
          <w:sz w:val="22"/>
          <w:szCs w:val="22"/>
        </w:rPr>
        <w:t xml:space="preserve">do </w:t>
      </w:r>
      <w:proofErr w:type="gramStart"/>
      <w:r w:rsidR="00045F76" w:rsidRPr="00045F76">
        <w:rPr>
          <w:rFonts w:ascii="Arial CE" w:hAnsi="Arial CE" w:cs="Arial"/>
          <w:b/>
          <w:sz w:val="22"/>
          <w:szCs w:val="22"/>
        </w:rPr>
        <w:t>29</w:t>
      </w:r>
      <w:r w:rsidR="007B02FB" w:rsidRPr="00045F76">
        <w:rPr>
          <w:rFonts w:ascii="Arial CE" w:hAnsi="Arial CE" w:cs="Arial"/>
          <w:b/>
          <w:sz w:val="22"/>
          <w:szCs w:val="22"/>
        </w:rPr>
        <w:t>.</w:t>
      </w:r>
      <w:r w:rsidR="00585D2E" w:rsidRPr="00045F76">
        <w:rPr>
          <w:rFonts w:ascii="Arial CE" w:hAnsi="Arial CE" w:cs="Arial"/>
          <w:b/>
          <w:sz w:val="22"/>
          <w:szCs w:val="22"/>
        </w:rPr>
        <w:t>03</w:t>
      </w:r>
      <w:r w:rsidR="006B2A53" w:rsidRPr="00045F76">
        <w:rPr>
          <w:rFonts w:ascii="Arial CE" w:hAnsi="Arial CE" w:cs="Arial"/>
          <w:b/>
          <w:sz w:val="22"/>
          <w:szCs w:val="22"/>
        </w:rPr>
        <w:t>.201</w:t>
      </w:r>
      <w:r w:rsidR="00585D2E" w:rsidRPr="00045F76">
        <w:rPr>
          <w:rFonts w:ascii="Arial CE" w:hAnsi="Arial CE" w:cs="Arial"/>
          <w:b/>
          <w:sz w:val="22"/>
          <w:szCs w:val="22"/>
        </w:rPr>
        <w:t>9</w:t>
      </w:r>
      <w:proofErr w:type="gramEnd"/>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A72E2">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A72E2">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436973" w:rsidRDefault="00436973" w:rsidP="00C412AC">
      <w:pPr>
        <w:pStyle w:val="Odstavecseseznamem"/>
        <w:tabs>
          <w:tab w:val="left" w:pos="0"/>
        </w:tabs>
        <w:autoSpaceDE w:val="0"/>
        <w:autoSpaceDN w:val="0"/>
        <w:adjustRightInd w:val="0"/>
        <w:ind w:left="0"/>
        <w:jc w:val="both"/>
        <w:rPr>
          <w:rFonts w:ascii="Arial CE" w:hAnsi="Arial CE" w:cs="Arial"/>
          <w:sz w:val="22"/>
          <w:szCs w:val="22"/>
        </w:rPr>
      </w:pP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585D2E" w:rsidP="00585D2E">
      <w:pPr>
        <w:tabs>
          <w:tab w:val="left" w:pos="6521"/>
        </w:tabs>
        <w:jc w:val="both"/>
        <w:rPr>
          <w:rFonts w:ascii="Arial CE" w:hAnsi="Arial CE" w:cs="Arial"/>
          <w:sz w:val="22"/>
          <w:szCs w:val="22"/>
        </w:rPr>
      </w:pPr>
      <w:r>
        <w:rPr>
          <w:rFonts w:ascii="Arial CE" w:hAnsi="Arial CE" w:cs="Arial"/>
          <w:b/>
          <w:sz w:val="22"/>
          <w:szCs w:val="22"/>
        </w:rPr>
        <w:tab/>
        <w:t>147 500</w:t>
      </w:r>
      <w:r w:rsidR="007B02FB">
        <w:rPr>
          <w:rFonts w:ascii="Arial CE" w:hAnsi="Arial CE" w:cs="Arial"/>
          <w:b/>
          <w:sz w:val="22"/>
          <w:szCs w:val="22"/>
        </w:rPr>
        <w:t xml:space="preserve"> </w:t>
      </w:r>
      <w:r w:rsidR="00AA2F85" w:rsidRPr="00E26CEA">
        <w:rPr>
          <w:rFonts w:ascii="Arial CE" w:hAnsi="Arial CE" w:cs="Arial"/>
          <w:b/>
          <w:sz w:val="22"/>
          <w:szCs w:val="22"/>
        </w:rPr>
        <w:t>Kč bez DPH.</w:t>
      </w:r>
    </w:p>
    <w:p w:rsidR="00255DCB" w:rsidRDefault="00255DCB" w:rsidP="002741F8">
      <w:pPr>
        <w:ind w:left="426"/>
        <w:jc w:val="both"/>
        <w:rPr>
          <w:rFonts w:ascii="Arial CE" w:hAnsi="Arial CE" w:cs="Arial"/>
          <w:sz w:val="22"/>
          <w:szCs w:val="22"/>
        </w:rPr>
      </w:pPr>
    </w:p>
    <w:p w:rsidR="002C4D79" w:rsidRPr="001D7A19" w:rsidRDefault="002C4D79" w:rsidP="002741F8">
      <w:pPr>
        <w:ind w:left="426"/>
        <w:jc w:val="both"/>
        <w:rPr>
          <w:rFonts w:ascii="Arial CE" w:hAnsi="Arial CE" w:cs="Arial"/>
          <w:sz w:val="22"/>
          <w:szCs w:val="22"/>
        </w:rPr>
      </w:pPr>
    </w:p>
    <w:p w:rsidR="00B27C1F" w:rsidRDefault="00B27C1F" w:rsidP="00B27C1F">
      <w:pPr>
        <w:jc w:val="both"/>
        <w:rPr>
          <w:rFonts w:ascii="Arial CE" w:hAnsi="Arial CE" w:cs="Arial"/>
          <w:sz w:val="22"/>
          <w:szCs w:val="22"/>
        </w:rPr>
      </w:pPr>
      <w:r w:rsidRPr="002C4D79">
        <w:rPr>
          <w:rFonts w:ascii="Arial CE" w:hAnsi="Arial CE" w:cs="Arial"/>
          <w:sz w:val="22"/>
          <w:szCs w:val="22"/>
        </w:rPr>
        <w:t>Cena za výkon AD</w:t>
      </w:r>
      <w:r w:rsidRPr="002C4D79">
        <w:rPr>
          <w:rFonts w:ascii="Arial CE" w:hAnsi="Arial CE" w:cs="Arial"/>
          <w:b/>
          <w:sz w:val="22"/>
          <w:szCs w:val="22"/>
        </w:rPr>
        <w:t xml:space="preserve"> </w:t>
      </w:r>
      <w:r w:rsidRPr="002C4D79">
        <w:rPr>
          <w:rFonts w:ascii="Arial CE" w:hAnsi="Arial CE" w:cs="Arial"/>
          <w:sz w:val="22"/>
          <w:szCs w:val="22"/>
        </w:rPr>
        <w:t xml:space="preserve">je sjednána jako cena smluvní ve výši </w:t>
      </w:r>
      <w:r w:rsidRPr="002C4D79">
        <w:rPr>
          <w:rFonts w:ascii="Arial CE" w:hAnsi="Arial CE" w:cs="Arial"/>
          <w:sz w:val="22"/>
          <w:szCs w:val="22"/>
        </w:rPr>
        <w:tab/>
      </w:r>
      <w:r w:rsidRPr="002C4D79">
        <w:rPr>
          <w:rFonts w:ascii="Arial CE" w:hAnsi="Arial CE" w:cs="Arial"/>
          <w:sz w:val="22"/>
          <w:szCs w:val="22"/>
        </w:rPr>
        <w:tab/>
      </w:r>
      <w:r w:rsidR="00223A24" w:rsidRPr="002C4D79">
        <w:rPr>
          <w:rFonts w:ascii="Arial CE" w:hAnsi="Arial CE" w:cs="Arial"/>
          <w:sz w:val="22"/>
          <w:szCs w:val="22"/>
        </w:rPr>
        <w:t>850</w:t>
      </w:r>
      <w:r w:rsidRPr="002C4D79">
        <w:rPr>
          <w:rFonts w:ascii="Arial CE" w:hAnsi="Arial CE" w:cs="Arial"/>
          <w:sz w:val="22"/>
          <w:szCs w:val="22"/>
        </w:rPr>
        <w:t>,-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0E7394" w:rsidRDefault="000E7394" w:rsidP="0048473A">
      <w:pPr>
        <w:jc w:val="both"/>
        <w:rPr>
          <w:rFonts w:ascii="Arial CE" w:hAnsi="Arial CE" w:cs="Arial"/>
          <w:sz w:val="22"/>
          <w:szCs w:val="22"/>
        </w:rPr>
      </w:pPr>
    </w:p>
    <w:p w:rsidR="006B2A53" w:rsidRDefault="00B27C1F" w:rsidP="0048473A">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0E7394" w:rsidRDefault="000E7394" w:rsidP="0080278C">
      <w:pPr>
        <w:jc w:val="both"/>
        <w:rPr>
          <w:rFonts w:ascii="Arial CE" w:hAnsi="Arial CE" w:cs="Arial"/>
          <w:sz w:val="22"/>
          <w:szCs w:val="22"/>
        </w:rPr>
      </w:pP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B806B5">
      <w:pPr>
        <w:pStyle w:val="Odstavecseseznamem"/>
        <w:numPr>
          <w:ilvl w:val="0"/>
          <w:numId w:val="7"/>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B806B5">
      <w:pPr>
        <w:pStyle w:val="Odstavecseseznamem"/>
        <w:numPr>
          <w:ilvl w:val="0"/>
          <w:numId w:val="7"/>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A87606" w:rsidRPr="002C4D79" w:rsidRDefault="00A87606" w:rsidP="00B806B5">
      <w:pPr>
        <w:pStyle w:val="Odstavecseseznamem"/>
        <w:numPr>
          <w:ilvl w:val="0"/>
          <w:numId w:val="8"/>
        </w:numPr>
        <w:suppressAutoHyphens/>
        <w:contextualSpacing/>
        <w:jc w:val="both"/>
        <w:rPr>
          <w:rFonts w:ascii="Arial CE" w:hAnsi="Arial CE" w:cs="Arial"/>
          <w:sz w:val="22"/>
          <w:szCs w:val="22"/>
        </w:rPr>
      </w:pPr>
      <w:r w:rsidRPr="002C4D79">
        <w:rPr>
          <w:rFonts w:ascii="Arial CE" w:hAnsi="Arial CE" w:cs="Arial"/>
          <w:sz w:val="22"/>
          <w:szCs w:val="22"/>
        </w:rPr>
        <w:t xml:space="preserve">V případě </w:t>
      </w:r>
      <w:r w:rsidR="005623EC" w:rsidRPr="002C4D79">
        <w:rPr>
          <w:rFonts w:ascii="Arial CE" w:hAnsi="Arial CE" w:cs="Arial"/>
          <w:sz w:val="22"/>
          <w:szCs w:val="22"/>
        </w:rPr>
        <w:t xml:space="preserve">prvního </w:t>
      </w:r>
      <w:r w:rsidRPr="002C4D79">
        <w:rPr>
          <w:rFonts w:ascii="Arial CE" w:hAnsi="Arial CE" w:cs="Arial"/>
          <w:sz w:val="22"/>
          <w:szCs w:val="22"/>
        </w:rPr>
        <w:t xml:space="preserve">dílčího plnění dnem protokolárního předání a převzetí kompletní PD ve výši </w:t>
      </w:r>
      <w:r w:rsidR="00755570" w:rsidRPr="002C4D79">
        <w:rPr>
          <w:rFonts w:ascii="Arial CE" w:hAnsi="Arial CE" w:cs="Arial"/>
          <w:b/>
          <w:sz w:val="22"/>
          <w:szCs w:val="22"/>
        </w:rPr>
        <w:t>8</w:t>
      </w:r>
      <w:r w:rsidRPr="002C4D79">
        <w:rPr>
          <w:rFonts w:ascii="Arial CE" w:hAnsi="Arial CE" w:cs="Arial"/>
          <w:b/>
          <w:sz w:val="22"/>
          <w:szCs w:val="22"/>
        </w:rPr>
        <w:t>0% ceny</w:t>
      </w:r>
      <w:r w:rsidRPr="002C4D79">
        <w:rPr>
          <w:rFonts w:ascii="Arial CE" w:hAnsi="Arial CE" w:cs="Arial"/>
          <w:sz w:val="22"/>
          <w:szCs w:val="22"/>
        </w:rPr>
        <w:t>, tj.</w:t>
      </w:r>
      <w:r w:rsidR="00436973" w:rsidRPr="002C4D79">
        <w:rPr>
          <w:rFonts w:ascii="Arial CE" w:hAnsi="Arial CE" w:cs="Arial"/>
          <w:sz w:val="22"/>
          <w:szCs w:val="22"/>
        </w:rPr>
        <w:t xml:space="preserve"> </w:t>
      </w:r>
      <w:r w:rsidR="002C4D79" w:rsidRPr="002C4D79">
        <w:rPr>
          <w:rFonts w:ascii="Arial CE" w:hAnsi="Arial CE" w:cs="Arial"/>
          <w:b/>
          <w:sz w:val="22"/>
          <w:szCs w:val="22"/>
        </w:rPr>
        <w:t>118 000,00</w:t>
      </w:r>
      <w:r w:rsidR="007B02FB" w:rsidRPr="002C4D79">
        <w:rPr>
          <w:rFonts w:ascii="Arial CE" w:hAnsi="Arial CE" w:cs="Arial"/>
          <w:b/>
          <w:sz w:val="22"/>
          <w:szCs w:val="22"/>
        </w:rPr>
        <w:t xml:space="preserve"> </w:t>
      </w:r>
      <w:r w:rsidRPr="002C4D79">
        <w:rPr>
          <w:rFonts w:ascii="Arial CE" w:hAnsi="Arial CE" w:cs="Arial"/>
          <w:b/>
          <w:sz w:val="22"/>
          <w:szCs w:val="22"/>
        </w:rPr>
        <w:t>Kč bez DPH</w:t>
      </w:r>
      <w:r w:rsidR="00C33382" w:rsidRPr="002C4D79">
        <w:rPr>
          <w:rFonts w:ascii="Arial CE" w:hAnsi="Arial CE" w:cs="Arial"/>
          <w:sz w:val="22"/>
          <w:szCs w:val="22"/>
        </w:rPr>
        <w:t>.</w:t>
      </w:r>
    </w:p>
    <w:p w:rsidR="00A87606" w:rsidRPr="002C4D79" w:rsidRDefault="00A87606" w:rsidP="00B806B5">
      <w:pPr>
        <w:pStyle w:val="Odstavecseseznamem"/>
        <w:numPr>
          <w:ilvl w:val="0"/>
          <w:numId w:val="8"/>
        </w:numPr>
        <w:suppressAutoHyphens/>
        <w:contextualSpacing/>
        <w:jc w:val="both"/>
        <w:rPr>
          <w:rFonts w:ascii="Arial CE" w:eastAsia="Arial CE" w:hAnsi="Arial CE" w:cs="Arial CE"/>
          <w:sz w:val="22"/>
          <w:szCs w:val="22"/>
        </w:rPr>
      </w:pPr>
      <w:r w:rsidRPr="002C4D79">
        <w:rPr>
          <w:rFonts w:ascii="Arial CE" w:eastAsia="Arial CE" w:hAnsi="Arial CE" w:cs="Arial CE"/>
          <w:sz w:val="22"/>
          <w:szCs w:val="22"/>
        </w:rPr>
        <w:t xml:space="preserve">V případě celkového plnění dnem podpisu „Rozhodnutí“ o schválení PD stupně generálním ředitelem Povodí Ohře, s. p., po předchozím projednání v investiční komisi ve výši zbývajících </w:t>
      </w:r>
      <w:r w:rsidRPr="002C4D79">
        <w:rPr>
          <w:rFonts w:ascii="Arial CE" w:eastAsia="Arial CE" w:hAnsi="Arial CE" w:cs="Arial CE"/>
          <w:b/>
          <w:sz w:val="22"/>
          <w:szCs w:val="22"/>
        </w:rPr>
        <w:t>20% ceny,</w:t>
      </w:r>
      <w:r w:rsidRPr="002C4D79">
        <w:rPr>
          <w:rFonts w:ascii="Arial CE" w:eastAsia="Arial CE" w:hAnsi="Arial CE" w:cs="Arial CE"/>
          <w:sz w:val="22"/>
          <w:szCs w:val="22"/>
        </w:rPr>
        <w:t xml:space="preserve"> tj. </w:t>
      </w:r>
      <w:proofErr w:type="gramStart"/>
      <w:r w:rsidR="002C4D79" w:rsidRPr="002C4D79">
        <w:rPr>
          <w:rFonts w:ascii="Arial CE" w:eastAsia="Arial CE" w:hAnsi="Arial CE" w:cs="Arial CE"/>
          <w:b/>
          <w:sz w:val="22"/>
          <w:szCs w:val="22"/>
        </w:rPr>
        <w:t xml:space="preserve">29 500,00 </w:t>
      </w:r>
      <w:r w:rsidR="00862710" w:rsidRPr="002C4D79">
        <w:rPr>
          <w:rFonts w:ascii="Arial CE" w:eastAsia="Arial CE" w:hAnsi="Arial CE" w:cs="Arial CE"/>
          <w:b/>
          <w:sz w:val="22"/>
          <w:szCs w:val="22"/>
        </w:rPr>
        <w:t xml:space="preserve"> </w:t>
      </w:r>
      <w:r w:rsidR="00E528FC" w:rsidRPr="002C4D79">
        <w:rPr>
          <w:rFonts w:ascii="Arial CE" w:eastAsia="Arial CE" w:hAnsi="Arial CE" w:cs="Arial CE"/>
          <w:b/>
          <w:sz w:val="22"/>
          <w:szCs w:val="22"/>
        </w:rPr>
        <w:t>Kč</w:t>
      </w:r>
      <w:proofErr w:type="gramEnd"/>
      <w:r w:rsidR="00E528FC" w:rsidRPr="002C4D79">
        <w:rPr>
          <w:rFonts w:ascii="Arial CE" w:eastAsia="Arial CE" w:hAnsi="Arial CE" w:cs="Arial CE"/>
          <w:b/>
          <w:sz w:val="22"/>
          <w:szCs w:val="22"/>
        </w:rPr>
        <w:t xml:space="preserve"> </w:t>
      </w:r>
      <w:r w:rsidRPr="002C4D79">
        <w:rPr>
          <w:rFonts w:ascii="Arial CE" w:eastAsia="Arial CE" w:hAnsi="Arial CE" w:cs="Arial CE"/>
          <w:b/>
          <w:sz w:val="22"/>
          <w:szCs w:val="22"/>
        </w:rPr>
        <w:t>bez DPH</w:t>
      </w:r>
      <w:r w:rsidRPr="002C4D79">
        <w:rPr>
          <w:rFonts w:ascii="Arial CE" w:eastAsia="Arial CE" w:hAnsi="Arial CE" w:cs="Arial CE"/>
          <w:sz w:val="22"/>
          <w:szCs w:val="22"/>
        </w:rPr>
        <w:t xml:space="preserve">. </w:t>
      </w:r>
    </w:p>
    <w:p w:rsidR="00A87606" w:rsidRPr="002C4D79" w:rsidRDefault="00A87606" w:rsidP="00A87606">
      <w:pPr>
        <w:suppressAutoHyphens/>
        <w:ind w:left="1080" w:hanging="371"/>
        <w:jc w:val="both"/>
        <w:rPr>
          <w:rFonts w:ascii="Arial CE" w:eastAsia="Arial CE" w:hAnsi="Arial CE" w:cs="Arial CE"/>
          <w:sz w:val="22"/>
          <w:szCs w:val="22"/>
        </w:rPr>
      </w:pPr>
      <w:r w:rsidRPr="002C4D79">
        <w:rPr>
          <w:rFonts w:ascii="Arial CE" w:eastAsia="Arial CE" w:hAnsi="Arial CE" w:cs="Arial CE"/>
          <w:sz w:val="22"/>
          <w:szCs w:val="22"/>
        </w:rPr>
        <w:t xml:space="preserve">Schválení PD v </w:t>
      </w:r>
      <w:proofErr w:type="gramStart"/>
      <w:r w:rsidRPr="002C4D79">
        <w:rPr>
          <w:rFonts w:ascii="Arial CE" w:eastAsia="Arial CE" w:hAnsi="Arial CE" w:cs="Arial CE"/>
          <w:sz w:val="22"/>
          <w:szCs w:val="22"/>
        </w:rPr>
        <w:t>IK</w:t>
      </w:r>
      <w:proofErr w:type="gramEnd"/>
      <w:r w:rsidRPr="002C4D79">
        <w:rPr>
          <w:rFonts w:ascii="Arial CE" w:eastAsia="Arial CE" w:hAnsi="Arial CE" w:cs="Arial CE"/>
          <w:sz w:val="22"/>
          <w:szCs w:val="22"/>
        </w:rPr>
        <w:t xml:space="preserve"> je povinen objednavatel oznámit zhotoviteli do 5 pracovních </w:t>
      </w:r>
    </w:p>
    <w:p w:rsidR="00A87606" w:rsidRPr="002C4D79" w:rsidRDefault="00A87606" w:rsidP="00A87606">
      <w:pPr>
        <w:suppressAutoHyphens/>
        <w:ind w:left="1080" w:hanging="371"/>
        <w:jc w:val="both"/>
        <w:rPr>
          <w:rFonts w:ascii="Arial CE" w:eastAsia="Arial CE" w:hAnsi="Arial CE" w:cs="Arial CE"/>
          <w:sz w:val="22"/>
          <w:szCs w:val="22"/>
        </w:rPr>
      </w:pPr>
      <w:r w:rsidRPr="002C4D79">
        <w:rPr>
          <w:rFonts w:ascii="Arial CE" w:eastAsia="Arial CE" w:hAnsi="Arial CE" w:cs="Arial CE"/>
          <w:sz w:val="22"/>
          <w:szCs w:val="22"/>
        </w:rPr>
        <w:t>dnů po podpisu Rozhodnutí generálním ředitelem Povodí Ohře, s. p.</w:t>
      </w:r>
    </w:p>
    <w:p w:rsidR="00A87606" w:rsidRPr="002C4D79" w:rsidRDefault="00A87606" w:rsidP="00B806B5">
      <w:pPr>
        <w:pStyle w:val="Odstavecseseznamem"/>
        <w:numPr>
          <w:ilvl w:val="0"/>
          <w:numId w:val="8"/>
        </w:numPr>
        <w:suppressAutoHyphens/>
        <w:contextualSpacing/>
        <w:jc w:val="both"/>
        <w:rPr>
          <w:rFonts w:ascii="Arial CE" w:eastAsia="Arial CE" w:hAnsi="Arial CE" w:cs="Arial CE"/>
          <w:sz w:val="22"/>
          <w:szCs w:val="22"/>
        </w:rPr>
      </w:pPr>
      <w:r w:rsidRPr="002C4D79">
        <w:rPr>
          <w:rFonts w:ascii="Arial CE" w:eastAsia="Arial CE" w:hAnsi="Arial CE" w:cs="Arial CE"/>
          <w:sz w:val="22"/>
          <w:szCs w:val="22"/>
        </w:rPr>
        <w:t>Autorský dozor</w:t>
      </w:r>
      <w:r w:rsidRPr="002C4D79">
        <w:rPr>
          <w:rFonts w:ascii="Arial CE" w:eastAsia="Arial CE" w:hAnsi="Arial CE" w:cs="Arial CE"/>
          <w:b/>
          <w:sz w:val="22"/>
          <w:szCs w:val="22"/>
        </w:rPr>
        <w:t xml:space="preserve"> </w:t>
      </w:r>
      <w:r w:rsidRPr="002C4D79">
        <w:rPr>
          <w:rFonts w:ascii="Arial CE" w:eastAsia="Arial CE" w:hAnsi="Arial CE" w:cs="Arial CE"/>
          <w:sz w:val="22"/>
          <w:szCs w:val="22"/>
        </w:rPr>
        <w:t>je</w:t>
      </w:r>
      <w:r w:rsidRPr="002C4D79">
        <w:rPr>
          <w:rFonts w:ascii="Arial CE" w:eastAsia="Arial CE" w:hAnsi="Arial CE" w:cs="Arial CE"/>
          <w:b/>
          <w:sz w:val="22"/>
          <w:szCs w:val="22"/>
        </w:rPr>
        <w:t xml:space="preserve"> </w:t>
      </w:r>
      <w:r w:rsidRPr="002C4D79">
        <w:rPr>
          <w:rFonts w:ascii="Arial CE" w:eastAsia="Arial CE" w:hAnsi="Arial CE" w:cs="Arial CE"/>
          <w:sz w:val="22"/>
          <w:szCs w:val="22"/>
        </w:rPr>
        <w:t>uskutečněný výkon na stavbě dle</w:t>
      </w:r>
      <w:r w:rsidRPr="002C4D79">
        <w:rPr>
          <w:rFonts w:ascii="Arial CE" w:eastAsia="Arial CE" w:hAnsi="Arial CE" w:cs="Arial CE"/>
          <w:b/>
          <w:sz w:val="22"/>
          <w:szCs w:val="22"/>
        </w:rPr>
        <w:t xml:space="preserve"> </w:t>
      </w:r>
      <w:r w:rsidRPr="002C4D79">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B806B5">
      <w:pPr>
        <w:pStyle w:val="Odstavecseseznamem"/>
        <w:numPr>
          <w:ilvl w:val="0"/>
          <w:numId w:val="7"/>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B806B5">
      <w:pPr>
        <w:pStyle w:val="Odstavecseseznamem"/>
        <w:numPr>
          <w:ilvl w:val="0"/>
          <w:numId w:val="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B806B5">
      <w:pPr>
        <w:pStyle w:val="Odstavecseseznamem"/>
        <w:numPr>
          <w:ilvl w:val="0"/>
          <w:numId w:val="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B806B5">
      <w:pPr>
        <w:pStyle w:val="Odstavecseseznamem"/>
        <w:numPr>
          <w:ilvl w:val="0"/>
          <w:numId w:val="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48473A" w:rsidRDefault="0048473A" w:rsidP="0048473A">
      <w:pPr>
        <w:autoSpaceDE w:val="0"/>
        <w:autoSpaceDN w:val="0"/>
        <w:adjustRightInd w:val="0"/>
        <w:jc w:val="both"/>
        <w:rPr>
          <w:rFonts w:ascii="Arial CE" w:hAnsi="Arial CE" w:cs="Arial"/>
          <w:sz w:val="22"/>
          <w:szCs w:val="22"/>
        </w:rPr>
      </w:pPr>
    </w:p>
    <w:p w:rsidR="0048473A" w:rsidRPr="0048473A" w:rsidRDefault="0048473A" w:rsidP="0048473A">
      <w:pPr>
        <w:autoSpaceDE w:val="0"/>
        <w:autoSpaceDN w:val="0"/>
        <w:adjustRightInd w:val="0"/>
        <w:jc w:val="both"/>
        <w:rPr>
          <w:rFonts w:ascii="Arial CE" w:hAnsi="Arial CE" w:cs="Arial"/>
          <w:sz w:val="22"/>
          <w:szCs w:val="22"/>
        </w:rPr>
      </w:pPr>
    </w:p>
    <w:p w:rsidR="001D42DD" w:rsidRP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2C4D79" w:rsidRDefault="00695ECE" w:rsidP="0008010B">
      <w:pPr>
        <w:pStyle w:val="A-odstavecodsazensodrkami"/>
        <w:numPr>
          <w:ilvl w:val="0"/>
          <w:numId w:val="2"/>
        </w:numPr>
        <w:ind w:hanging="502"/>
        <w:rPr>
          <w:rFonts w:ascii="Arial CE" w:hAnsi="Arial CE"/>
        </w:rPr>
      </w:pPr>
      <w:r w:rsidRPr="002C4D79">
        <w:rPr>
          <w:rFonts w:ascii="Arial CE" w:hAnsi="Arial CE"/>
        </w:rPr>
        <w:t xml:space="preserve">Pokud bude </w:t>
      </w:r>
      <w:r w:rsidR="00E25F42" w:rsidRPr="002C4D79">
        <w:rPr>
          <w:rFonts w:ascii="Arial CE" w:hAnsi="Arial CE"/>
        </w:rPr>
        <w:t>zhotovitel</w:t>
      </w:r>
      <w:r w:rsidRPr="002C4D79">
        <w:rPr>
          <w:rFonts w:ascii="Arial CE" w:hAnsi="Arial CE"/>
        </w:rPr>
        <w:t xml:space="preserve"> v prodlení proti kterémukoliv smluvně ujednanému dílčímu postupovému termínu plnění </w:t>
      </w:r>
      <w:r w:rsidR="001710AB" w:rsidRPr="002C4D79">
        <w:rPr>
          <w:rFonts w:ascii="Arial CE" w:hAnsi="Arial CE"/>
        </w:rPr>
        <w:t xml:space="preserve">části </w:t>
      </w:r>
      <w:r w:rsidRPr="002C4D79">
        <w:rPr>
          <w:rFonts w:ascii="Arial CE" w:hAnsi="Arial CE"/>
        </w:rPr>
        <w:t xml:space="preserve">díla, je povinen zaplatit </w:t>
      </w:r>
      <w:r w:rsidR="00F2049C" w:rsidRPr="002C4D79">
        <w:rPr>
          <w:rFonts w:ascii="Arial CE" w:hAnsi="Arial CE"/>
        </w:rPr>
        <w:t xml:space="preserve">objednavateli </w:t>
      </w:r>
      <w:r w:rsidRPr="002C4D79">
        <w:rPr>
          <w:rFonts w:ascii="Arial CE" w:hAnsi="Arial CE"/>
        </w:rPr>
        <w:t xml:space="preserve">smluvní pokutu </w:t>
      </w:r>
      <w:r w:rsidRPr="002C4D79">
        <w:rPr>
          <w:rFonts w:ascii="Arial CE" w:hAnsi="Arial CE"/>
        </w:rPr>
        <w:lastRenderedPageBreak/>
        <w:t xml:space="preserve">ve výši </w:t>
      </w:r>
      <w:r w:rsidR="00755570" w:rsidRPr="002C4D79">
        <w:rPr>
          <w:rFonts w:ascii="Arial CE" w:hAnsi="Arial CE"/>
        </w:rPr>
        <w:t>0,2</w:t>
      </w:r>
      <w:r w:rsidRPr="002C4D79">
        <w:rPr>
          <w:rFonts w:ascii="Arial CE" w:hAnsi="Arial CE"/>
        </w:rPr>
        <w:t> %</w:t>
      </w:r>
      <w:r w:rsidRPr="002C4D79">
        <w:rPr>
          <w:rFonts w:ascii="Arial CE" w:hAnsi="Arial CE"/>
          <w:b/>
        </w:rPr>
        <w:t xml:space="preserve"> </w:t>
      </w:r>
      <w:r w:rsidRPr="002C4D79">
        <w:rPr>
          <w:rFonts w:ascii="Arial CE" w:hAnsi="Arial CE"/>
        </w:rPr>
        <w:t>z části ceny díla odpovídajícímu konkrétnímu dílčímu plnění za každý i započatý den prodlení</w:t>
      </w:r>
      <w:r w:rsidR="009424A7" w:rsidRPr="002C4D79">
        <w:rPr>
          <w:rFonts w:ascii="Arial CE" w:hAnsi="Arial CE"/>
        </w:rPr>
        <w:t>.</w:t>
      </w:r>
    </w:p>
    <w:p w:rsidR="00BB6A12" w:rsidRPr="002C4D79" w:rsidRDefault="00BB6A12" w:rsidP="00BB6A12">
      <w:pPr>
        <w:pStyle w:val="A-odstavecodsazensodrkami"/>
        <w:numPr>
          <w:ilvl w:val="0"/>
          <w:numId w:val="0"/>
        </w:numPr>
        <w:ind w:left="502"/>
        <w:rPr>
          <w:rFonts w:ascii="Arial CE" w:hAnsi="Arial CE"/>
        </w:rPr>
      </w:pPr>
    </w:p>
    <w:p w:rsidR="00BB6A12" w:rsidRPr="002C4D79" w:rsidRDefault="00BB6A12" w:rsidP="00BB6A12">
      <w:pPr>
        <w:pStyle w:val="A-odstavecodsazensodrkami"/>
        <w:numPr>
          <w:ilvl w:val="0"/>
          <w:numId w:val="2"/>
        </w:numPr>
        <w:ind w:hanging="502"/>
        <w:rPr>
          <w:rFonts w:ascii="Arial CE" w:hAnsi="Arial CE"/>
        </w:rPr>
      </w:pPr>
      <w:r w:rsidRPr="002C4D79">
        <w:rPr>
          <w:rFonts w:ascii="Arial CE" w:hAnsi="Arial CE"/>
        </w:rPr>
        <w:t>Pokud bude objednatel v prodlení s úhradou faktury proti sjednanému termínu je povinen zaplatit dodava</w:t>
      </w:r>
      <w:r w:rsidR="007B02FB" w:rsidRPr="002C4D79">
        <w:rPr>
          <w:rFonts w:ascii="Arial CE" w:hAnsi="Arial CE"/>
        </w:rPr>
        <w:t xml:space="preserve">teli úrok z prodlení ve výši </w:t>
      </w:r>
      <w:r w:rsidR="00755570" w:rsidRPr="002C4D79">
        <w:rPr>
          <w:rFonts w:ascii="Arial CE" w:hAnsi="Arial CE"/>
        </w:rPr>
        <w:t>0,2</w:t>
      </w:r>
      <w:r w:rsidRPr="002C4D79">
        <w:rPr>
          <w:rFonts w:ascii="Arial CE" w:hAnsi="Arial CE"/>
        </w:rPr>
        <w:t xml:space="preserve">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EB7EEF" w:rsidRDefault="00EB7EEF"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B806B5">
      <w:pPr>
        <w:pStyle w:val="Odstavecseseznamem"/>
        <w:numPr>
          <w:ilvl w:val="1"/>
          <w:numId w:val="11"/>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B806B5">
      <w:pPr>
        <w:pStyle w:val="Odstavecseseznamem"/>
        <w:numPr>
          <w:ilvl w:val="1"/>
          <w:numId w:val="11"/>
        </w:numPr>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B806B5">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Default="0008010B" w:rsidP="0008010B">
      <w:pPr>
        <w:pStyle w:val="Odstavecseseznamem"/>
        <w:rPr>
          <w:rFonts w:ascii="Arial CE" w:eastAsia="Arial CE" w:hAnsi="Arial CE" w:cs="Arial CE"/>
          <w:sz w:val="22"/>
          <w:szCs w:val="22"/>
        </w:rPr>
      </w:pPr>
    </w:p>
    <w:p w:rsidR="000E7394" w:rsidRPr="0008010B" w:rsidRDefault="000E7394"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0E7394" w:rsidRPr="001D42DD" w:rsidRDefault="000E7394" w:rsidP="0008010B">
      <w:pPr>
        <w:pStyle w:val="Odstavecseseznamem"/>
        <w:autoSpaceDE w:val="0"/>
        <w:autoSpaceDN w:val="0"/>
        <w:adjustRightInd w:val="0"/>
        <w:ind w:left="567"/>
        <w:jc w:val="both"/>
        <w:rPr>
          <w:rFonts w:ascii="Arial CE" w:hAnsi="Arial CE" w:cs="Arial"/>
          <w:bCs/>
          <w:color w:val="000000"/>
          <w:sz w:val="22"/>
          <w:szCs w:val="22"/>
        </w:rPr>
      </w:pP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D4315E"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D4315E" w:rsidRDefault="00D4315E" w:rsidP="00D4315E">
      <w:pPr>
        <w:pStyle w:val="Odstavecseseznamem"/>
        <w:rPr>
          <w:rFonts w:ascii="Arial CE" w:hAnsi="Arial CE" w:cs="Arial"/>
          <w:b/>
          <w:color w:val="000000"/>
          <w:sz w:val="22"/>
          <w:szCs w:val="22"/>
          <w:u w:val="single"/>
        </w:rPr>
      </w:pPr>
    </w:p>
    <w:p w:rsidR="00D4315E" w:rsidRDefault="00D4315E" w:rsidP="00D4315E">
      <w:pPr>
        <w:autoSpaceDE w:val="0"/>
        <w:autoSpaceDN w:val="0"/>
        <w:adjustRightInd w:val="0"/>
        <w:jc w:val="both"/>
        <w:rPr>
          <w:rFonts w:ascii="Arial CE" w:hAnsi="Arial CE" w:cs="Arial"/>
          <w:b/>
          <w:color w:val="000000"/>
          <w:sz w:val="22"/>
          <w:szCs w:val="22"/>
          <w:u w:val="single"/>
        </w:rPr>
      </w:pPr>
    </w:p>
    <w:p w:rsidR="00D4315E" w:rsidRPr="00755570" w:rsidRDefault="00D4315E" w:rsidP="00D4315E">
      <w:pPr>
        <w:autoSpaceDE w:val="0"/>
        <w:autoSpaceDN w:val="0"/>
        <w:adjustRightInd w:val="0"/>
        <w:jc w:val="both"/>
        <w:rPr>
          <w:rFonts w:ascii="Arial CE" w:hAnsi="Arial CE" w:cs="Arial"/>
          <w:b/>
          <w:color w:val="000000"/>
          <w:sz w:val="22"/>
          <w:szCs w:val="22"/>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B806B5">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B806B5">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B806B5">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0"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B806B5">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2C4D79" w:rsidRDefault="000D101E" w:rsidP="00B806B5">
      <w:pPr>
        <w:numPr>
          <w:ilvl w:val="0"/>
          <w:numId w:val="10"/>
        </w:numPr>
        <w:autoSpaceDE w:val="0"/>
        <w:autoSpaceDN w:val="0"/>
        <w:adjustRightInd w:val="0"/>
        <w:spacing w:after="120"/>
        <w:ind w:left="426" w:hanging="426"/>
        <w:jc w:val="both"/>
        <w:rPr>
          <w:rFonts w:ascii="Arial" w:hAnsi="Arial" w:cs="Arial"/>
          <w:sz w:val="22"/>
          <w:szCs w:val="22"/>
        </w:rPr>
      </w:pPr>
      <w:r w:rsidRPr="002C4D79">
        <w:rPr>
          <w:rFonts w:ascii="Arial" w:hAnsi="Arial" w:cs="Arial"/>
          <w:bCs/>
          <w:sz w:val="22"/>
          <w:szCs w:val="22"/>
        </w:rPr>
        <w:t xml:space="preserve">Pokud objednatel </w:t>
      </w:r>
      <w:r w:rsidRPr="002C4D79">
        <w:rPr>
          <w:rFonts w:ascii="Arial" w:hAnsi="Arial" w:cs="Arial"/>
          <w:sz w:val="22"/>
          <w:szCs w:val="22"/>
        </w:rPr>
        <w:t>nevyzve zhotovitele do 2 let od převzetí díla k zahájení činnosti autorského dozoru, končí na základě vzájemného ujednání platnost této smlouvy.</w:t>
      </w:r>
    </w:p>
    <w:p w:rsidR="000D101E" w:rsidRPr="00663814" w:rsidRDefault="000D101E" w:rsidP="00B806B5">
      <w:pPr>
        <w:numPr>
          <w:ilvl w:val="0"/>
          <w:numId w:val="10"/>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B806B5">
      <w:pPr>
        <w:widowControl w:val="0"/>
        <w:numPr>
          <w:ilvl w:val="0"/>
          <w:numId w:val="10"/>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B806B5">
      <w:pPr>
        <w:pStyle w:val="Odstavecseseznamem"/>
        <w:numPr>
          <w:ilvl w:val="0"/>
          <w:numId w:val="10"/>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lastRenderedPageBreak/>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B806B5">
      <w:pPr>
        <w:pStyle w:val="Odstavecseseznamem"/>
        <w:numPr>
          <w:ilvl w:val="0"/>
          <w:numId w:val="10"/>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B806B5">
      <w:pPr>
        <w:pStyle w:val="Odstavecseseznamem"/>
        <w:numPr>
          <w:ilvl w:val="0"/>
          <w:numId w:val="10"/>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B806B5">
      <w:pPr>
        <w:pStyle w:val="Odstavecseseznamem"/>
        <w:numPr>
          <w:ilvl w:val="0"/>
          <w:numId w:val="10"/>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1B67B4" w:rsidRPr="00E60591" w:rsidRDefault="001B67B4" w:rsidP="001B67B4">
      <w:pPr>
        <w:autoSpaceDE w:val="0"/>
        <w:autoSpaceDN w:val="0"/>
        <w:adjustRightInd w:val="0"/>
        <w:jc w:val="both"/>
        <w:rPr>
          <w:rFonts w:ascii="Arial" w:hAnsi="Arial" w:cs="Arial"/>
          <w:i/>
          <w:sz w:val="22"/>
          <w:szCs w:val="22"/>
        </w:rPr>
      </w:pPr>
      <w:r>
        <w:rPr>
          <w:rFonts w:ascii="Arial" w:hAnsi="Arial" w:cs="Arial"/>
          <w:sz w:val="22"/>
          <w:szCs w:val="22"/>
        </w:rPr>
        <w:t xml:space="preserve">Chomutov,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t>Praha, dne:</w:t>
      </w:r>
    </w:p>
    <w:p w:rsidR="001B67B4" w:rsidRPr="007B4F3A" w:rsidRDefault="001B67B4" w:rsidP="001B67B4">
      <w:pPr>
        <w:autoSpaceDE w:val="0"/>
        <w:autoSpaceDN w:val="0"/>
        <w:adjustRightInd w:val="0"/>
        <w:jc w:val="both"/>
        <w:rPr>
          <w:rFonts w:ascii="Arial" w:hAnsi="Arial" w:cs="Arial"/>
          <w:i/>
          <w:sz w:val="22"/>
          <w:szCs w:val="22"/>
        </w:rPr>
      </w:pPr>
    </w:p>
    <w:p w:rsidR="001B67B4" w:rsidRPr="007B4F3A" w:rsidRDefault="001B67B4" w:rsidP="001B67B4">
      <w:pPr>
        <w:autoSpaceDE w:val="0"/>
        <w:autoSpaceDN w:val="0"/>
        <w:adjustRightInd w:val="0"/>
        <w:jc w:val="both"/>
        <w:rPr>
          <w:rFonts w:ascii="Arial" w:hAnsi="Arial" w:cs="Arial"/>
          <w:sz w:val="22"/>
          <w:szCs w:val="22"/>
        </w:rPr>
      </w:pPr>
    </w:p>
    <w:p w:rsidR="001B67B4" w:rsidRDefault="001B67B4" w:rsidP="001B67B4">
      <w:pPr>
        <w:autoSpaceDE w:val="0"/>
        <w:autoSpaceDN w:val="0"/>
        <w:adjustRightInd w:val="0"/>
        <w:jc w:val="both"/>
        <w:rPr>
          <w:rFonts w:ascii="Arial" w:hAnsi="Arial" w:cs="Arial"/>
          <w:sz w:val="22"/>
          <w:szCs w:val="22"/>
        </w:rPr>
      </w:pPr>
    </w:p>
    <w:p w:rsidR="001B67B4" w:rsidRPr="005C192A" w:rsidRDefault="001B67B4" w:rsidP="001B67B4">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1B67B4" w:rsidRPr="005C192A" w:rsidRDefault="001B67B4" w:rsidP="001B67B4">
      <w:pPr>
        <w:autoSpaceDE w:val="0"/>
        <w:autoSpaceDN w:val="0"/>
        <w:adjustRightInd w:val="0"/>
        <w:jc w:val="both"/>
        <w:rPr>
          <w:rFonts w:ascii="Arial" w:hAnsi="Arial" w:cs="Arial"/>
          <w:sz w:val="22"/>
          <w:szCs w:val="22"/>
        </w:rPr>
      </w:pPr>
      <w:r w:rsidRPr="005C192A">
        <w:rPr>
          <w:rFonts w:ascii="Arial" w:hAnsi="Arial" w:cs="Arial"/>
          <w:sz w:val="22"/>
          <w:szCs w:val="22"/>
        </w:rPr>
        <w:t>Ing. Vlastimil Hasík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Ing. Miloš Sedláček</w:t>
      </w:r>
    </w:p>
    <w:p w:rsidR="001B67B4" w:rsidRPr="005C192A" w:rsidRDefault="001B67B4" w:rsidP="001B67B4">
      <w:pPr>
        <w:autoSpaceDE w:val="0"/>
        <w:autoSpaceDN w:val="0"/>
        <w:adjustRightInd w:val="0"/>
        <w:jc w:val="both"/>
        <w:rPr>
          <w:rFonts w:ascii="Arial" w:hAnsi="Arial" w:cs="Arial"/>
          <w:sz w:val="22"/>
          <w:szCs w:val="22"/>
        </w:rPr>
      </w:pPr>
      <w:r w:rsidRPr="005C192A">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color w:val="000000"/>
          <w:sz w:val="22"/>
          <w:szCs w:val="22"/>
        </w:rPr>
        <w:t>prokurista</w:t>
      </w:r>
    </w:p>
    <w:p w:rsidR="001B67B4" w:rsidRDefault="001B67B4" w:rsidP="001B67B4">
      <w:pPr>
        <w:autoSpaceDE w:val="0"/>
        <w:autoSpaceDN w:val="0"/>
        <w:adjustRightInd w:val="0"/>
        <w:jc w:val="both"/>
        <w:rPr>
          <w:rFonts w:ascii="Arial" w:hAnsi="Arial" w:cs="Arial"/>
          <w:sz w:val="22"/>
          <w:szCs w:val="22"/>
        </w:rPr>
      </w:pPr>
      <w:r w:rsidRPr="005C192A">
        <w:rPr>
          <w:rFonts w:ascii="Arial" w:hAnsi="Arial" w:cs="Arial"/>
          <w:sz w:val="22"/>
          <w:szCs w:val="22"/>
        </w:rPr>
        <w:t>Povodí Ohře, státní podnik</w:t>
      </w:r>
      <w:r w:rsidRPr="005C192A">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bCs/>
          <w:sz w:val="22"/>
          <w:szCs w:val="22"/>
        </w:rPr>
        <w:t>VODNÍ DÍLA - TBD a.s.</w:t>
      </w:r>
      <w:r w:rsidRPr="005C192A">
        <w:rPr>
          <w:rFonts w:ascii="Arial" w:hAnsi="Arial" w:cs="Arial"/>
          <w:sz w:val="22"/>
          <w:szCs w:val="22"/>
        </w:rPr>
        <w:tab/>
      </w:r>
    </w:p>
    <w:p w:rsidR="001B67B4" w:rsidRPr="00550FE6" w:rsidRDefault="001B67B4" w:rsidP="001B67B4">
      <w:pPr>
        <w:autoSpaceDE w:val="0"/>
        <w:autoSpaceDN w:val="0"/>
        <w:adjustRightInd w:val="0"/>
        <w:jc w:val="both"/>
        <w:rPr>
          <w:rFonts w:ascii="Arial" w:hAnsi="Arial" w:cs="Arial"/>
          <w:color w:val="000000"/>
          <w:sz w:val="22"/>
          <w:szCs w:val="22"/>
        </w:rPr>
      </w:pP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5C8" w:rsidRDefault="00B405C8">
      <w:r>
        <w:separator/>
      </w:r>
    </w:p>
  </w:endnote>
  <w:endnote w:type="continuationSeparator" w:id="0">
    <w:p w:rsidR="00B405C8" w:rsidRDefault="00B4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0D5A00">
              <w:rPr>
                <w:rFonts w:ascii="Arial" w:hAnsi="Arial" w:cs="Arial"/>
                <w:b/>
                <w:bCs/>
                <w:noProof/>
                <w:sz w:val="18"/>
                <w:szCs w:val="18"/>
              </w:rPr>
              <w:t>10</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0D5A00">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0D5A00">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0D5A00">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5C8" w:rsidRDefault="00B405C8">
      <w:r>
        <w:separator/>
      </w:r>
    </w:p>
  </w:footnote>
  <w:footnote w:type="continuationSeparator" w:id="0">
    <w:p w:rsidR="00B405C8" w:rsidRDefault="00B40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8">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B9348E"/>
    <w:multiLevelType w:val="hybridMultilevel"/>
    <w:tmpl w:val="EE3C3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4"/>
  </w:num>
  <w:num w:numId="5">
    <w:abstractNumId w:val="3"/>
  </w:num>
  <w:num w:numId="6">
    <w:abstractNumId w:val="5"/>
  </w:num>
  <w:num w:numId="7">
    <w:abstractNumId w:val="1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0"/>
  </w:num>
  <w:num w:numId="14">
    <w:abstractNumId w:val="7"/>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5F76"/>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5A00"/>
    <w:rsid w:val="000D7986"/>
    <w:rsid w:val="000E039D"/>
    <w:rsid w:val="000E2308"/>
    <w:rsid w:val="000E3357"/>
    <w:rsid w:val="000E4925"/>
    <w:rsid w:val="000E4F55"/>
    <w:rsid w:val="000E5C87"/>
    <w:rsid w:val="000E66E5"/>
    <w:rsid w:val="000E7264"/>
    <w:rsid w:val="000E7394"/>
    <w:rsid w:val="000E7441"/>
    <w:rsid w:val="000E7580"/>
    <w:rsid w:val="000E7A5A"/>
    <w:rsid w:val="000F2A40"/>
    <w:rsid w:val="000F55C1"/>
    <w:rsid w:val="000F6FBC"/>
    <w:rsid w:val="001002C7"/>
    <w:rsid w:val="001020AB"/>
    <w:rsid w:val="0010337A"/>
    <w:rsid w:val="00105C01"/>
    <w:rsid w:val="00110B34"/>
    <w:rsid w:val="00113B70"/>
    <w:rsid w:val="00115832"/>
    <w:rsid w:val="00116AE3"/>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85D61"/>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67B4"/>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3A24"/>
    <w:rsid w:val="00225458"/>
    <w:rsid w:val="00227B40"/>
    <w:rsid w:val="00230B00"/>
    <w:rsid w:val="00230F76"/>
    <w:rsid w:val="00235875"/>
    <w:rsid w:val="00242636"/>
    <w:rsid w:val="00242984"/>
    <w:rsid w:val="00243718"/>
    <w:rsid w:val="002515B0"/>
    <w:rsid w:val="00252516"/>
    <w:rsid w:val="002536D0"/>
    <w:rsid w:val="00253896"/>
    <w:rsid w:val="0025412B"/>
    <w:rsid w:val="00254470"/>
    <w:rsid w:val="002548FC"/>
    <w:rsid w:val="00255667"/>
    <w:rsid w:val="00255940"/>
    <w:rsid w:val="00255DCB"/>
    <w:rsid w:val="002562E1"/>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C4D79"/>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1789"/>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A92"/>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3819"/>
    <w:rsid w:val="004E591C"/>
    <w:rsid w:val="004E6286"/>
    <w:rsid w:val="004E69C0"/>
    <w:rsid w:val="004E7DD2"/>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780"/>
    <w:rsid w:val="00537B13"/>
    <w:rsid w:val="0054127D"/>
    <w:rsid w:val="00545823"/>
    <w:rsid w:val="005460CA"/>
    <w:rsid w:val="005461BB"/>
    <w:rsid w:val="00550FE6"/>
    <w:rsid w:val="0055172C"/>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5D2E"/>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A46"/>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2F1F"/>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5BED"/>
    <w:rsid w:val="00A96625"/>
    <w:rsid w:val="00A97B34"/>
    <w:rsid w:val="00AA0897"/>
    <w:rsid w:val="00AA2667"/>
    <w:rsid w:val="00AA2F85"/>
    <w:rsid w:val="00AA4583"/>
    <w:rsid w:val="00AA4B98"/>
    <w:rsid w:val="00AA4D51"/>
    <w:rsid w:val="00AA5480"/>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162A"/>
    <w:rsid w:val="00B33D58"/>
    <w:rsid w:val="00B34666"/>
    <w:rsid w:val="00B35FDD"/>
    <w:rsid w:val="00B37281"/>
    <w:rsid w:val="00B37614"/>
    <w:rsid w:val="00B405C8"/>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6B5"/>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0844"/>
    <w:rsid w:val="00C412AC"/>
    <w:rsid w:val="00C414A7"/>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315E"/>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DD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1B58"/>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566F"/>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4BD"/>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A65"/>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2097"/>
    <w:rsid w:val="00FF6EAA"/>
    <w:rsid w:val="00FF7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207956509">
      <w:bodyDiv w:val="1"/>
      <w:marLeft w:val="0"/>
      <w:marRight w:val="0"/>
      <w:marTop w:val="0"/>
      <w:marBottom w:val="0"/>
      <w:divBdr>
        <w:top w:val="none" w:sz="0" w:space="0" w:color="auto"/>
        <w:left w:val="none" w:sz="0" w:space="0" w:color="auto"/>
        <w:bottom w:val="none" w:sz="0" w:space="0" w:color="auto"/>
        <w:right w:val="none" w:sz="0" w:space="0" w:color="auto"/>
      </w:divBdr>
    </w:div>
    <w:div w:id="631712903">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1C26A-010E-4E3A-A5DE-535FC626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3826</Words>
  <Characters>22574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26348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cp:lastModifiedBy>Samkova Kamila</cp:lastModifiedBy>
  <cp:revision>2</cp:revision>
  <cp:lastPrinted>2018-01-11T11:23:00Z</cp:lastPrinted>
  <dcterms:created xsi:type="dcterms:W3CDTF">2018-06-18T07:16:00Z</dcterms:created>
  <dcterms:modified xsi:type="dcterms:W3CDTF">2018-06-18T07:16:00Z</dcterms:modified>
</cp:coreProperties>
</file>