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C6" w:rsidRPr="002E4BC6" w:rsidRDefault="002E4BC6" w:rsidP="002E4BC6">
      <w:pPr>
        <w:spacing w:after="0" w:line="450" w:lineRule="atLeast"/>
        <w:textAlignment w:val="baseline"/>
        <w:outlineLvl w:val="0"/>
        <w:rPr>
          <w:rFonts w:ascii="Arial" w:eastAsia="Times New Roman" w:hAnsi="Arial" w:cs="Arial"/>
          <w:b/>
          <w:bCs/>
          <w:color w:val="00508D"/>
          <w:kern w:val="36"/>
          <w:sz w:val="36"/>
          <w:szCs w:val="36"/>
          <w:lang w:eastAsia="cs-CZ"/>
        </w:rPr>
      </w:pPr>
      <w:r w:rsidRPr="002E4BC6">
        <w:rPr>
          <w:rFonts w:ascii="Arial" w:eastAsia="Times New Roman" w:hAnsi="Arial" w:cs="Arial"/>
          <w:b/>
          <w:bCs/>
          <w:color w:val="00508D"/>
          <w:kern w:val="36"/>
          <w:sz w:val="36"/>
          <w:szCs w:val="36"/>
          <w:lang w:eastAsia="cs-CZ"/>
        </w:rPr>
        <w:t>Obchodní podmínky</w:t>
      </w:r>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5" w:anchor="a1" w:tooltip="Základní ustanovení" w:history="1">
        <w:r w:rsidRPr="002E4BC6">
          <w:rPr>
            <w:rFonts w:ascii="inherit" w:eastAsia="Times New Roman" w:hAnsi="inherit" w:cs="Arial"/>
            <w:color w:val="343434"/>
            <w:sz w:val="21"/>
            <w:szCs w:val="21"/>
            <w:u w:val="single"/>
            <w:bdr w:val="none" w:sz="0" w:space="0" w:color="auto" w:frame="1"/>
            <w:lang w:eastAsia="cs-CZ"/>
          </w:rPr>
          <w:t>Základní ustanovení</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6" w:anchor="a2" w:tooltip="Předmět dodávky" w:history="1">
        <w:r w:rsidRPr="002E4BC6">
          <w:rPr>
            <w:rFonts w:ascii="inherit" w:eastAsia="Times New Roman" w:hAnsi="inherit" w:cs="Arial"/>
            <w:color w:val="343434"/>
            <w:sz w:val="21"/>
            <w:szCs w:val="21"/>
            <w:u w:val="single"/>
            <w:bdr w:val="none" w:sz="0" w:space="0" w:color="auto" w:frame="1"/>
            <w:lang w:eastAsia="cs-CZ"/>
          </w:rPr>
          <w:t>Předmět dodávky</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7" w:anchor="a3" w:tooltip="Cena zboží" w:history="1">
        <w:r w:rsidRPr="002E4BC6">
          <w:rPr>
            <w:rFonts w:ascii="inherit" w:eastAsia="Times New Roman" w:hAnsi="inherit" w:cs="Arial"/>
            <w:color w:val="343434"/>
            <w:sz w:val="21"/>
            <w:szCs w:val="21"/>
            <w:u w:val="single"/>
            <w:bdr w:val="none" w:sz="0" w:space="0" w:color="auto" w:frame="1"/>
            <w:lang w:eastAsia="cs-CZ"/>
          </w:rPr>
          <w:t>Cena zboží</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8" w:anchor="a4" w:tooltip="Specifikace a obrázky výrobků" w:history="1">
        <w:r w:rsidRPr="002E4BC6">
          <w:rPr>
            <w:rFonts w:ascii="inherit" w:eastAsia="Times New Roman" w:hAnsi="inherit" w:cs="Arial"/>
            <w:color w:val="343434"/>
            <w:sz w:val="21"/>
            <w:szCs w:val="21"/>
            <w:u w:val="single"/>
            <w:bdr w:val="none" w:sz="0" w:space="0" w:color="auto" w:frame="1"/>
            <w:lang w:eastAsia="cs-CZ"/>
          </w:rPr>
          <w:t>Specifikace a obrázky výrobků</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9" w:anchor="a5" w:tooltip="Bodové konto" w:history="1">
        <w:r w:rsidRPr="002E4BC6">
          <w:rPr>
            <w:rFonts w:ascii="inherit" w:eastAsia="Times New Roman" w:hAnsi="inherit" w:cs="Arial"/>
            <w:color w:val="343434"/>
            <w:sz w:val="21"/>
            <w:szCs w:val="21"/>
            <w:u w:val="single"/>
            <w:bdr w:val="none" w:sz="0" w:space="0" w:color="auto" w:frame="1"/>
            <w:lang w:eastAsia="cs-CZ"/>
          </w:rPr>
          <w:t>Bodové konto</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10" w:anchor="a6" w:tooltip="Dodací podmínky" w:history="1">
        <w:r w:rsidRPr="002E4BC6">
          <w:rPr>
            <w:rFonts w:ascii="inherit" w:eastAsia="Times New Roman" w:hAnsi="inherit" w:cs="Arial"/>
            <w:color w:val="343434"/>
            <w:sz w:val="21"/>
            <w:szCs w:val="21"/>
            <w:u w:val="single"/>
            <w:bdr w:val="none" w:sz="0" w:space="0" w:color="auto" w:frame="1"/>
            <w:lang w:eastAsia="cs-CZ"/>
          </w:rPr>
          <w:t>Dodací podmínky</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11" w:anchor="a7" w:tooltip="Storno objednávek a kupních smluv" w:history="1">
        <w:r w:rsidRPr="002E4BC6">
          <w:rPr>
            <w:rFonts w:ascii="inherit" w:eastAsia="Times New Roman" w:hAnsi="inherit" w:cs="Arial"/>
            <w:color w:val="343434"/>
            <w:sz w:val="21"/>
            <w:szCs w:val="21"/>
            <w:u w:val="single"/>
            <w:bdr w:val="none" w:sz="0" w:space="0" w:color="auto" w:frame="1"/>
            <w:lang w:eastAsia="cs-CZ"/>
          </w:rPr>
          <w:t>Storno objednávek a kupních smluv</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12" w:anchor="a8" w:tooltip="Platební podmínky a přechod vlastnických práv" w:history="1">
        <w:r w:rsidRPr="002E4BC6">
          <w:rPr>
            <w:rFonts w:ascii="inherit" w:eastAsia="Times New Roman" w:hAnsi="inherit" w:cs="Arial"/>
            <w:color w:val="343434"/>
            <w:sz w:val="21"/>
            <w:szCs w:val="21"/>
            <w:u w:val="single"/>
            <w:bdr w:val="none" w:sz="0" w:space="0" w:color="auto" w:frame="1"/>
            <w:lang w:eastAsia="cs-CZ"/>
          </w:rPr>
          <w:t>Platební podmínky a přechod vlastnických práv</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13" w:anchor="a9" w:tooltip="Odpovědnost za vady, záruka a reklamace" w:history="1">
        <w:r w:rsidRPr="002E4BC6">
          <w:rPr>
            <w:rFonts w:ascii="inherit" w:eastAsia="Times New Roman" w:hAnsi="inherit" w:cs="Arial"/>
            <w:color w:val="343434"/>
            <w:sz w:val="21"/>
            <w:szCs w:val="21"/>
            <w:u w:val="single"/>
            <w:bdr w:val="none" w:sz="0" w:space="0" w:color="auto" w:frame="1"/>
            <w:lang w:eastAsia="cs-CZ"/>
          </w:rPr>
          <w:t>Odpovědnost za vady, záruka a reklamace</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14" w:anchor="a10" w:tooltip="Servis" w:history="1">
        <w:r w:rsidRPr="002E4BC6">
          <w:rPr>
            <w:rFonts w:ascii="inherit" w:eastAsia="Times New Roman" w:hAnsi="inherit" w:cs="Arial"/>
            <w:color w:val="343434"/>
            <w:sz w:val="21"/>
            <w:szCs w:val="21"/>
            <w:u w:val="single"/>
            <w:bdr w:val="none" w:sz="0" w:space="0" w:color="auto" w:frame="1"/>
            <w:lang w:eastAsia="cs-CZ"/>
          </w:rPr>
          <w:t>Servis</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15" w:anchor="a11" w:tooltip="Servis" w:history="1">
        <w:r w:rsidRPr="002E4BC6">
          <w:rPr>
            <w:rFonts w:ascii="inherit" w:eastAsia="Times New Roman" w:hAnsi="inherit" w:cs="Arial"/>
            <w:color w:val="343434"/>
            <w:sz w:val="21"/>
            <w:szCs w:val="21"/>
            <w:u w:val="single"/>
            <w:bdr w:val="none" w:sz="0" w:space="0" w:color="auto" w:frame="1"/>
            <w:lang w:eastAsia="cs-CZ"/>
          </w:rPr>
          <w:t>Ochrana osobních dat zákazníků</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hyperlink r:id="rId16" w:anchor="a12" w:tooltip="Závěrečná ustanovení" w:history="1">
        <w:r w:rsidRPr="002E4BC6">
          <w:rPr>
            <w:rFonts w:ascii="inherit" w:eastAsia="Times New Roman" w:hAnsi="inherit" w:cs="Arial"/>
            <w:color w:val="343434"/>
            <w:sz w:val="21"/>
            <w:szCs w:val="21"/>
            <w:u w:val="single"/>
            <w:bdr w:val="none" w:sz="0" w:space="0" w:color="auto" w:frame="1"/>
            <w:lang w:eastAsia="cs-CZ"/>
          </w:rPr>
          <w:t>Závěrečná ustanovení</w:t>
        </w:r>
      </w:hyperlink>
    </w:p>
    <w:p w:rsidR="002E4BC6" w:rsidRPr="002E4BC6" w:rsidRDefault="002E4BC6" w:rsidP="002E4BC6">
      <w:pPr>
        <w:spacing w:after="0" w:line="360" w:lineRule="atLeast"/>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t> </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 Základní ustanovení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1.1</w:t>
      </w:r>
      <w:r w:rsidRPr="002E4BC6">
        <w:rPr>
          <w:rFonts w:ascii="inherit" w:eastAsia="Times New Roman" w:hAnsi="inherit" w:cs="Arial"/>
          <w:color w:val="343434"/>
          <w:sz w:val="21"/>
          <w:szCs w:val="21"/>
          <w:lang w:eastAsia="cs-CZ"/>
        </w:rPr>
        <w:t> Tyto Všeobecné obchodní podmínky upravují vztahy při dodávkách zboží a služeb mezi společností Helago-CZ, s. r. o. (dále jen dodavatel) a zákazníkem (dále jen odběratel).</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1.2 </w:t>
      </w:r>
      <w:r w:rsidRPr="002E4BC6">
        <w:rPr>
          <w:rFonts w:ascii="inherit" w:eastAsia="Times New Roman" w:hAnsi="inherit" w:cs="Arial"/>
          <w:color w:val="343434"/>
          <w:sz w:val="21"/>
          <w:szCs w:val="21"/>
          <w:lang w:eastAsia="cs-CZ"/>
        </w:rPr>
        <w:t>Jakékoliv jiné obchodní podmínky nejsou pro dodavatele závazné, a to ani v případě, že jsou součástí objednávky odběratele.</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1.3</w:t>
      </w:r>
      <w:r w:rsidRPr="002E4BC6">
        <w:rPr>
          <w:rFonts w:ascii="inherit" w:eastAsia="Times New Roman" w:hAnsi="inherit" w:cs="Arial"/>
          <w:color w:val="343434"/>
          <w:sz w:val="21"/>
          <w:szCs w:val="21"/>
          <w:lang w:eastAsia="cs-CZ"/>
        </w:rPr>
        <w:t> Obchodní vztahy v těchto všeobecných obchodních podmínkách neřešené se řídí zákonem č. 89/2012 Sb., občanským zákoníkem, v platném znění.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2. Předmět dodávky</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2.1</w:t>
      </w:r>
      <w:r w:rsidRPr="002E4BC6">
        <w:rPr>
          <w:rFonts w:ascii="inherit" w:eastAsia="Times New Roman" w:hAnsi="inherit" w:cs="Arial"/>
          <w:color w:val="343434"/>
          <w:sz w:val="21"/>
          <w:szCs w:val="21"/>
          <w:lang w:eastAsia="cs-CZ"/>
        </w:rPr>
        <w:t> Předmětem dodávky je libovolné zboží a služby uvedené v nabídce společnosti Helago-CZ, s.r.o. včetně konkrétních cenových nabídek určených konkrétním odběratelům. Jednotlivé obchodní případy se uzavírají na základě písemných objednávek odběratele, zaslaných poštou nebo faxem nebo objednávek zaslaných elektronickou formou (e-mail nebo web formulář, ve výjimečných případech též na základě ústní anebo telefonické objednávky.</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2.2</w:t>
      </w:r>
      <w:r w:rsidRPr="002E4BC6">
        <w:rPr>
          <w:rFonts w:ascii="inherit" w:eastAsia="Times New Roman" w:hAnsi="inherit" w:cs="Arial"/>
          <w:color w:val="343434"/>
          <w:sz w:val="21"/>
          <w:szCs w:val="21"/>
          <w:lang w:eastAsia="cs-CZ"/>
        </w:rPr>
        <w:t> Objednávka objednatele musí obsahovat přesný název právnické či fyzické osoby, jakožto objednavatele, adresu sídla či místa podnikání a odpovědnou osobu vč. kontaktu, IČO, DIČ, přesnou adresu plátce (pokud se liší od adresy objednavatele). Dále přesnou adresu místa dodání (pokud se liší od adresy objednavatele), kontaktní osobu, telefon. Dále jednoznačné určení zboží, požadované množství a požadované dodací podmínky, jako je termín dodání a jiné specifické požadavky.</w:t>
      </w:r>
    </w:p>
    <w:p w:rsidR="002E4BC6" w:rsidRPr="002E4BC6" w:rsidRDefault="002E4BC6" w:rsidP="002E4BC6">
      <w:pPr>
        <w:spacing w:after="36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t>Pokud si objednavatel přeje dílčí plnění dodávky, je nutné tuto skutečnost uvést na objednávce.</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2.3</w:t>
      </w:r>
      <w:r w:rsidRPr="002E4BC6">
        <w:rPr>
          <w:rFonts w:ascii="inherit" w:eastAsia="Times New Roman" w:hAnsi="inherit" w:cs="Arial"/>
          <w:color w:val="343434"/>
          <w:sz w:val="21"/>
          <w:szCs w:val="21"/>
          <w:lang w:eastAsia="cs-CZ"/>
        </w:rPr>
        <w:t xml:space="preserve"> Přijetí každé objednávky potvrdí dodavatel písemně, na potvrzení objednávky bude uvedena přesná specifikace objednaného zboží včetně katalogového čísla, cena zboží, předpokládaný termín dodání zboží a číslo obchodního případu, které bylo objednávce přiděleno. Odběratel je povinen potvrzení řádně zkontrolovat, především specifikaci zboží a jeho cenu, svůj souhlas potvrdit podpisem a potvrzení poslat zpět </w:t>
      </w:r>
      <w:r w:rsidRPr="002E4BC6">
        <w:rPr>
          <w:rFonts w:ascii="inherit" w:eastAsia="Times New Roman" w:hAnsi="inherit" w:cs="Arial"/>
          <w:color w:val="343434"/>
          <w:sz w:val="21"/>
          <w:szCs w:val="21"/>
          <w:lang w:eastAsia="cs-CZ"/>
        </w:rPr>
        <w:lastRenderedPageBreak/>
        <w:t>dodavateli. Tímto se stává objednávka pro dodavatele závaznou a její změny nebo storno jsou možné pouze po oboustranné dohodě. V případě, že odběratel nevyjádří písemně nesouhlas s údaji uvedenými v potvrzení objednávky do 2 dnů od odeslání potvrzení objednávky dodavatelem, má se toto potvrzení objednávky za odsouhlasené.</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2.4</w:t>
      </w:r>
      <w:r w:rsidRPr="002E4BC6">
        <w:rPr>
          <w:rFonts w:ascii="inherit" w:eastAsia="Times New Roman" w:hAnsi="inherit" w:cs="Arial"/>
          <w:color w:val="343434"/>
          <w:sz w:val="21"/>
          <w:szCs w:val="21"/>
          <w:lang w:eastAsia="cs-CZ"/>
        </w:rPr>
        <w:t> Dodavatel si vyhrazuje právo potvrdit objednávku formou uzavření kupní smlouvy v písemné formě, objednávka je pak považována za platnou uzavřením kupní smlouvy v písemné formě oběma smluvními stranami.</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3. Cena zboží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3.1</w:t>
      </w:r>
      <w:r w:rsidRPr="002E4BC6">
        <w:rPr>
          <w:rFonts w:ascii="inherit" w:eastAsia="Times New Roman" w:hAnsi="inherit" w:cs="Arial"/>
          <w:color w:val="343434"/>
          <w:sz w:val="21"/>
          <w:szCs w:val="21"/>
          <w:lang w:eastAsia="cs-CZ"/>
        </w:rPr>
        <w:t> Katalogy a ceníky vydávané dodavatelem jsou informativní a jsou vždy platné k termínu vydání. Dodavatel si vyhrazuje právo změnit cenu předmětu plnění bez předchozího písemného oznámení. Dodavatel nezodpovídá za chyby vzniklé při tisku obchodních a technických materiálů. Pro upřesnění ceny a specifikace předmětu plnění je odběratel oprávněn si vyžádat cenovou nabídku.</w:t>
      </w:r>
    </w:p>
    <w:p w:rsidR="002E4BC6" w:rsidRPr="002E4BC6" w:rsidRDefault="002E4BC6" w:rsidP="002E4BC6">
      <w:pPr>
        <w:spacing w:after="36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t>Pro cenovou kalkulaci předmětu plnění platí ceny uvedené v platné písemné nabídce dodavatele, nebo ceny platné v okamžiku přijetí objednávky.</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3.2</w:t>
      </w:r>
      <w:r w:rsidRPr="002E4BC6">
        <w:rPr>
          <w:rFonts w:ascii="inherit" w:eastAsia="Times New Roman" w:hAnsi="inherit" w:cs="Arial"/>
          <w:color w:val="343434"/>
          <w:sz w:val="21"/>
          <w:szCs w:val="21"/>
          <w:lang w:eastAsia="cs-CZ"/>
        </w:rPr>
        <w:t> Ceny zboží v tištěných materiálech i ve webovém katalogu jsou uvedeny v Kč bez DPH. K uvedeným cenám v katalogu bude připočteno DPH dle platných právních předpisů.</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3.3</w:t>
      </w:r>
      <w:r w:rsidRPr="002E4BC6">
        <w:rPr>
          <w:rFonts w:ascii="inherit" w:eastAsia="Times New Roman" w:hAnsi="inherit" w:cs="Arial"/>
          <w:color w:val="343434"/>
          <w:sz w:val="21"/>
          <w:szCs w:val="21"/>
          <w:lang w:eastAsia="cs-CZ"/>
        </w:rPr>
        <w:t> Dopravné, případná instalace, oživení a zaškolení obsluhy v rámci České republiky je zahrnuto v ceně zboží. Dodavatel si však vyhrazuje právo účtovat odběrateli náklady spojené s dopravou předmětu plnění, zejména pak v případech, kdy se jedná o objednávku za cenu nižší než 2500 Kč bez DPH (zde je k hodnotě zboží účtován manipulační poplatek ve výši 130,- Kč s DPH, příp. dobírka 50,- Kč s DPH), nebo když je předmět plnění mimořádně těžký či rozměrný. U dodávek laboratorního nábytku je doprava a montáž vždy kalkulována individuálně. Tyto náklady jsou vždy uvedeny v potvrzení objednávky.</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3.4</w:t>
      </w:r>
      <w:r w:rsidRPr="002E4BC6">
        <w:rPr>
          <w:rFonts w:ascii="inherit" w:eastAsia="Times New Roman" w:hAnsi="inherit" w:cs="Arial"/>
          <w:color w:val="343434"/>
          <w:sz w:val="21"/>
          <w:szCs w:val="21"/>
          <w:lang w:eastAsia="cs-CZ"/>
        </w:rPr>
        <w:t> Výše minimální hodnoty nákupního košíku pro uzavření objednávky je stanovena na 200 Kč včetně DPH.</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4. Specifikace a obrázky výrobků</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4.1</w:t>
      </w:r>
      <w:r w:rsidRPr="002E4BC6">
        <w:rPr>
          <w:rFonts w:ascii="inherit" w:eastAsia="Times New Roman" w:hAnsi="inherit" w:cs="Arial"/>
          <w:color w:val="343434"/>
          <w:sz w:val="21"/>
          <w:szCs w:val="21"/>
          <w:bdr w:val="none" w:sz="0" w:space="0" w:color="auto" w:frame="1"/>
          <w:lang w:eastAsia="cs-CZ"/>
        </w:rPr>
        <w:t> Technické specifikace produktů se mohou změnit bez výslovného upozornění. Obrázky mají pouze informativní charakter.</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5. </w:t>
      </w:r>
      <w:hyperlink r:id="rId17" w:tooltip="Bodové konto" w:history="1">
        <w:r w:rsidRPr="002E4BC6">
          <w:rPr>
            <w:rFonts w:ascii="inherit" w:eastAsia="Times New Roman" w:hAnsi="inherit" w:cs="Arial"/>
            <w:b/>
            <w:bCs/>
            <w:color w:val="343434"/>
            <w:sz w:val="21"/>
            <w:szCs w:val="21"/>
            <w:u w:val="single"/>
            <w:bdr w:val="none" w:sz="0" w:space="0" w:color="auto" w:frame="1"/>
            <w:lang w:eastAsia="cs-CZ"/>
          </w:rPr>
          <w:t>Bodové konto</w:t>
        </w:r>
      </w:hyperlink>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5.1</w:t>
      </w:r>
      <w:r w:rsidRPr="002E4BC6">
        <w:rPr>
          <w:rFonts w:ascii="inherit" w:eastAsia="Times New Roman" w:hAnsi="inherit" w:cs="Arial"/>
          <w:color w:val="343434"/>
          <w:sz w:val="21"/>
          <w:szCs w:val="21"/>
          <w:lang w:eastAsia="cs-CZ"/>
        </w:rPr>
        <w:t> Součástí nabídky internetového obchodu společnosti Helago-CZ, s.r.o. je motivační program pro odběratele – bodové konto. Každé zboží v internetové nabídce je označeno počtem bodů, které získá zaregistrovaný odběratel po jeho nákupu. Body jsou na konto odběratele připsány v okamžiku zaplacení zboží. Je-li odběratel v prodlení se zaplacením faktury o více než 14 dní, ztrácí nárok na připsání bodů na konto.</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5.2</w:t>
      </w:r>
      <w:r w:rsidRPr="002E4BC6">
        <w:rPr>
          <w:rFonts w:ascii="inherit" w:eastAsia="Times New Roman" w:hAnsi="inherit" w:cs="Arial"/>
          <w:color w:val="343434"/>
          <w:sz w:val="21"/>
          <w:szCs w:val="21"/>
          <w:lang w:eastAsia="cs-CZ"/>
        </w:rPr>
        <w:t> Nasbírané body může odběratel převést na koruny a nastřádanou sumu uplatnit jako slevu na další nakupované zboží, nebo ji čerpat formou věcné ceny, jejichž seznam je na www.helago-cz.cz uveden.</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5.3</w:t>
      </w:r>
      <w:r w:rsidRPr="002E4BC6">
        <w:rPr>
          <w:rFonts w:ascii="inherit" w:eastAsia="Times New Roman" w:hAnsi="inherit" w:cs="Arial"/>
          <w:color w:val="343434"/>
          <w:sz w:val="21"/>
          <w:szCs w:val="21"/>
          <w:lang w:eastAsia="cs-CZ"/>
        </w:rPr>
        <w:t> Korunová hodnota konta roste exponenciálně, tedy čím více bodů, tím vyšší korunová hodnota konta. Aktuální stav konta si registrovaný odběratel může zjistit kdykoli po přihlášení na www.helago-cz.cz.</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lastRenderedPageBreak/>
        <w:t>5.4</w:t>
      </w:r>
      <w:r w:rsidRPr="002E4BC6">
        <w:rPr>
          <w:rFonts w:ascii="inherit" w:eastAsia="Times New Roman" w:hAnsi="inherit" w:cs="Arial"/>
          <w:color w:val="343434"/>
          <w:sz w:val="21"/>
          <w:szCs w:val="21"/>
          <w:lang w:eastAsia="cs-CZ"/>
        </w:rPr>
        <w:t> Odběratel může svoje konto vyčerpat při nákupu dalšího zboží, minimální hodnota nakupovaného zboží však musí zůstat alespoň 1,- Kč bez DPH. Případné nevyčerpané body zůstávají na kontě. Slevu lze uplatnit pouze na dodávku zboží, nikoliv na servis a služby.</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5.5</w:t>
      </w:r>
      <w:r w:rsidRPr="002E4BC6">
        <w:rPr>
          <w:rFonts w:ascii="inherit" w:eastAsia="Times New Roman" w:hAnsi="inherit" w:cs="Arial"/>
          <w:color w:val="343434"/>
          <w:sz w:val="21"/>
          <w:szCs w:val="21"/>
          <w:lang w:eastAsia="cs-CZ"/>
        </w:rPr>
        <w:t> Uplatnění nároku na připsání bodů na konto při nákupu zboží nelze kombinovat s žádnou další slevou.</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5.6</w:t>
      </w:r>
      <w:r w:rsidRPr="002E4BC6">
        <w:rPr>
          <w:rFonts w:ascii="inherit" w:eastAsia="Times New Roman" w:hAnsi="inherit" w:cs="Arial"/>
          <w:color w:val="343434"/>
          <w:sz w:val="21"/>
          <w:szCs w:val="21"/>
          <w:lang w:eastAsia="cs-CZ"/>
        </w:rPr>
        <w:t> Odběratel je povinen provést čerpání z bodového konta minimálně jednou za tři roky. Před vypršením této doby bude dodavatelem písemně vyzván, aby tak učinil. Pokud ani potom k čerpání nedojde, nebude již možné body, jejichž časová platnost vypršela, použít.</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6. Dodací podmínky</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6.1 </w:t>
      </w:r>
      <w:r w:rsidRPr="002E4BC6">
        <w:rPr>
          <w:rFonts w:ascii="inherit" w:eastAsia="Times New Roman" w:hAnsi="inherit" w:cs="Arial"/>
          <w:color w:val="343434"/>
          <w:sz w:val="21"/>
          <w:szCs w:val="21"/>
          <w:lang w:eastAsia="cs-CZ"/>
        </w:rPr>
        <w:t>Dodávky předmětu plnění budou dle dostupnosti produktů a provozních možností dodavatele realizovány v co nejkratším termínu, vždy však dle aktuálních možností dodavatele. Předpokládaný termín dodání bude objednateli písemně potvrzen. Dodavatel může ve výjimečných případech termín plnění prodloužit, musí však neprodleně na tuto změnu upozornit odběratele.</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6.2 </w:t>
      </w:r>
      <w:r w:rsidRPr="002E4BC6">
        <w:rPr>
          <w:rFonts w:ascii="inherit" w:eastAsia="Times New Roman" w:hAnsi="inherit" w:cs="Arial"/>
          <w:color w:val="343434"/>
          <w:sz w:val="21"/>
          <w:szCs w:val="21"/>
          <w:lang w:eastAsia="cs-CZ"/>
        </w:rPr>
        <w:t>Odběratel je povinen předmět plnění převzít a neprodleně zkontrolovat soulad množství a typu předmětu plněni s dodacím listem nebo fakturou. Nepřevezme-li odběratel předmět plnění z důvodů ležících na jeho straně, nese odběratel náklady spojené s opakovaným dodáním v plné výši.</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6.3 </w:t>
      </w:r>
      <w:r w:rsidRPr="002E4BC6">
        <w:rPr>
          <w:rFonts w:ascii="inherit" w:eastAsia="Times New Roman" w:hAnsi="inherit" w:cs="Arial"/>
          <w:color w:val="343434"/>
          <w:sz w:val="21"/>
          <w:szCs w:val="21"/>
          <w:lang w:eastAsia="cs-CZ"/>
        </w:rPr>
        <w:t>Zjistí-li odběratel při převzetí zboží zjevné poškození obalů či produktů, je povinen tuto skutečnost neprodleně sdělit dodavateli anebo doručiteli zásilky a písemně ji uvést na dodacím listu dodavatele nebo přepravním listu spediční služby v případě externí dopravy. Pozdější reklamace tohoto typu nelze dodavatelem uznat jako oprávněné.</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6.4</w:t>
      </w:r>
      <w:r w:rsidRPr="002E4BC6">
        <w:rPr>
          <w:rFonts w:ascii="inherit" w:eastAsia="Times New Roman" w:hAnsi="inherit" w:cs="Arial"/>
          <w:color w:val="343434"/>
          <w:sz w:val="21"/>
          <w:szCs w:val="21"/>
          <w:lang w:eastAsia="cs-CZ"/>
        </w:rPr>
        <w:t> Tam, kde to povaha zboží vyžaduje, je součástí dodávky návod k obsluze v českém jazyce.</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7. Storno objednávek a kupních smluv</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7.1</w:t>
      </w:r>
      <w:r w:rsidRPr="002E4BC6">
        <w:rPr>
          <w:rFonts w:ascii="inherit" w:eastAsia="Times New Roman" w:hAnsi="inherit" w:cs="Arial"/>
          <w:color w:val="343434"/>
          <w:sz w:val="21"/>
          <w:szCs w:val="21"/>
          <w:lang w:eastAsia="cs-CZ"/>
        </w:rPr>
        <w:t> Odsouhlasené objednávky a kupní smlouvy lze rušit jen písemně vzájemnou dohodou obou stran.</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7.2</w:t>
      </w:r>
      <w:r w:rsidRPr="002E4BC6">
        <w:rPr>
          <w:rFonts w:ascii="inherit" w:eastAsia="Times New Roman" w:hAnsi="inherit" w:cs="Arial"/>
          <w:color w:val="343434"/>
          <w:sz w:val="21"/>
          <w:szCs w:val="21"/>
          <w:lang w:eastAsia="cs-CZ"/>
        </w:rPr>
        <w:t> Dodavatel je oprávněn účtovat odběrateli storno poplatek do výše 50% ceny předmětu k pokrytí nákladů účelně vynaložených v souvislosti se zajištěním objednaného zboží či služeb.</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8 Platební podmínky a přechod vlastnických práv</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8.1</w:t>
      </w:r>
      <w:r w:rsidRPr="002E4BC6">
        <w:rPr>
          <w:rFonts w:ascii="inherit" w:eastAsia="Times New Roman" w:hAnsi="inherit" w:cs="Arial"/>
          <w:color w:val="343434"/>
          <w:sz w:val="21"/>
          <w:szCs w:val="21"/>
          <w:lang w:eastAsia="cs-CZ"/>
        </w:rPr>
        <w:t> Úhrada ceny se uskutečňuje dle předběžné dohody buď převodem na základě daňového dokladu s předem dohodnutou splatností, nebo v hotovosti při převzetí zboží. V případě platby v hotovosti oznámí dodavatel odběrateli jeden den předem dodávku zboží vlastním rozvozem, u zboží dopravovaného zásilkovou službou avizuje dodávku zboží zásilková služba.</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8.2</w:t>
      </w:r>
      <w:r w:rsidRPr="002E4BC6">
        <w:rPr>
          <w:rFonts w:ascii="inherit" w:eastAsia="Times New Roman" w:hAnsi="inherit" w:cs="Arial"/>
          <w:color w:val="343434"/>
          <w:sz w:val="21"/>
          <w:szCs w:val="21"/>
          <w:lang w:eastAsia="cs-CZ"/>
        </w:rPr>
        <w:t> Dodavatel si vyhrazuje právo v odůvodněných případech požadovat úhradu celé dohodnuté ceny nebo její části předem.</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8.3</w:t>
      </w:r>
      <w:r w:rsidRPr="002E4BC6">
        <w:rPr>
          <w:rFonts w:ascii="inherit" w:eastAsia="Times New Roman" w:hAnsi="inherit" w:cs="Arial"/>
          <w:color w:val="343434"/>
          <w:sz w:val="21"/>
          <w:szCs w:val="21"/>
          <w:lang w:eastAsia="cs-CZ"/>
        </w:rPr>
        <w:t> V případě, že odběratel neprovede ve lhůtě splatnosti uvedené na faktuře vystavené dodavatelem úhradu, je dodavatel oprávněn účtovat odběrateli smluvní pokutu ve výši 0,05% dlužné částky včetně DPH za každý den prodlení ode dne původní splatnosti závazku až do jeho úplného uhrazení.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8.4</w:t>
      </w:r>
      <w:r w:rsidRPr="002E4BC6">
        <w:rPr>
          <w:rFonts w:ascii="inherit" w:eastAsia="Times New Roman" w:hAnsi="inherit" w:cs="Arial"/>
          <w:color w:val="343434"/>
          <w:sz w:val="21"/>
          <w:szCs w:val="21"/>
          <w:lang w:eastAsia="cs-CZ"/>
        </w:rPr>
        <w:t> Nebezpečí škody na zboží přechází na odběratele okamžikem splnění dodávky zboží. Vlastnické právo ke zboží přechází na odběratele okamžikem zaplacení kupní ceny odběratelem za dodané zboží v celé výši. Zaplacením se rozumí připsání placené částky na účet dodavatele.</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lastRenderedPageBreak/>
        <w:t>8.5</w:t>
      </w:r>
      <w:r w:rsidRPr="002E4BC6">
        <w:rPr>
          <w:rFonts w:ascii="inherit" w:eastAsia="Times New Roman" w:hAnsi="inherit" w:cs="Arial"/>
          <w:color w:val="343434"/>
          <w:sz w:val="21"/>
          <w:szCs w:val="21"/>
          <w:lang w:eastAsia="cs-CZ"/>
        </w:rPr>
        <w:t> Odběratel není oprávněn převést, postoupit nebo zatížit jakákoli práva, pohledávky, povinnosti nebo závazky vyplývající ze smlouvy uzavřené s dodavatelem na třetí osobu bez předchozího písemného souhlasu dodavatele. Odběratel není oprávněn započíst žádné své pohledávky vůči dodavateli oproti pohledávkám dodavatele vůči odběrateli.</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 Odpovědnost za vady, záruka a reklamace</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9.1</w:t>
      </w:r>
      <w:r w:rsidRPr="002E4BC6">
        <w:rPr>
          <w:rFonts w:ascii="inherit" w:eastAsia="Times New Roman" w:hAnsi="inherit" w:cs="Arial"/>
          <w:color w:val="343434"/>
          <w:sz w:val="21"/>
          <w:szCs w:val="21"/>
          <w:lang w:eastAsia="cs-CZ"/>
        </w:rPr>
        <w:t> Dodavatel odpovídá za úplnost a správnost dodávky dle dodacího listu.</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9.2</w:t>
      </w:r>
      <w:r w:rsidRPr="002E4BC6">
        <w:rPr>
          <w:rFonts w:ascii="inherit" w:eastAsia="Times New Roman" w:hAnsi="inherit" w:cs="Arial"/>
          <w:color w:val="343434"/>
          <w:sz w:val="21"/>
          <w:szCs w:val="21"/>
          <w:lang w:eastAsia="cs-CZ"/>
        </w:rPr>
        <w:t> Odběratel je povinen zkontrolovat při převzetí zboží jeho množství a jakost, úplnost, správnost a neporušenost dodávky, a správnost dodávky potvrdit na dodacím listu.</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9.3</w:t>
      </w:r>
      <w:r w:rsidRPr="002E4BC6">
        <w:rPr>
          <w:rFonts w:ascii="inherit" w:eastAsia="Times New Roman" w:hAnsi="inherit" w:cs="Arial"/>
          <w:color w:val="343434"/>
          <w:sz w:val="21"/>
          <w:szCs w:val="21"/>
          <w:lang w:eastAsia="cs-CZ"/>
        </w:rPr>
        <w:t> Záruční doba na skryté vady, funkčnost atp. je sjednána na šest měsíců, pokud není záruční lhůta dodacím listem výslovně stanovena na dobu delší. Dodavatel vystaví dodací list se záručními podmínkami s vyznačením data prodeje, konkrétní délkou záruční doby, typu a čísla výrobku pro zboží, které má delší záruční dobu než šest měsíců.</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9.4</w:t>
      </w:r>
      <w:r w:rsidRPr="002E4BC6">
        <w:rPr>
          <w:rFonts w:ascii="inherit" w:eastAsia="Times New Roman" w:hAnsi="inherit" w:cs="Arial"/>
          <w:color w:val="343434"/>
          <w:sz w:val="21"/>
          <w:szCs w:val="21"/>
          <w:lang w:eastAsia="cs-CZ"/>
        </w:rPr>
        <w:t> Reklamace musí být vždy uplatněna písemnou formou s uvedením specifikace reklamovaného zboží, popisu závady, čísla a data objednávky, dodacího listu nebo faktury a jména osoby odpovědné ze strany odběratele za vyřízení reklamace.</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9.5</w:t>
      </w:r>
      <w:r w:rsidRPr="002E4BC6">
        <w:rPr>
          <w:rFonts w:ascii="inherit" w:eastAsia="Times New Roman" w:hAnsi="inherit" w:cs="Arial"/>
          <w:color w:val="343434"/>
          <w:sz w:val="21"/>
          <w:szCs w:val="21"/>
          <w:lang w:eastAsia="cs-CZ"/>
        </w:rPr>
        <w:t> Záruka se nevztahuje na vady a poškození vzniklé nerespektováním návodu k použití, neprováděním běžné uživatelské údržby, provedením změny na zboží bez autorizace dodavatele, nesprávnou přepravou či skladováním. Záruka se nevztahuje na přirozené opotřebení.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9.6</w:t>
      </w:r>
      <w:r w:rsidRPr="002E4BC6">
        <w:rPr>
          <w:rFonts w:ascii="inherit" w:eastAsia="Times New Roman" w:hAnsi="inherit" w:cs="Arial"/>
          <w:color w:val="343434"/>
          <w:sz w:val="21"/>
          <w:szCs w:val="21"/>
          <w:lang w:eastAsia="cs-CZ"/>
        </w:rPr>
        <w:t> Záruka se počítá ode dne převzetí zboží odběratelem. Do záruční doby se nezapočítává doba, po kterou je zařízení v opravě.</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9.7</w:t>
      </w:r>
      <w:r w:rsidRPr="002E4BC6">
        <w:rPr>
          <w:rFonts w:ascii="inherit" w:eastAsia="Times New Roman" w:hAnsi="inherit" w:cs="Arial"/>
          <w:color w:val="343434"/>
          <w:sz w:val="21"/>
          <w:szCs w:val="21"/>
          <w:lang w:eastAsia="cs-CZ"/>
        </w:rPr>
        <w:t> Záruční podmínky jsou pro dodavatele závazné pouze v případě, že odběratel není v prodlení s úhradou zboží.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9.8</w:t>
      </w:r>
      <w:r w:rsidRPr="002E4BC6">
        <w:rPr>
          <w:rFonts w:ascii="inherit" w:eastAsia="Times New Roman" w:hAnsi="inherit" w:cs="Arial"/>
          <w:color w:val="343434"/>
          <w:sz w:val="21"/>
          <w:szCs w:val="21"/>
          <w:lang w:eastAsia="cs-CZ"/>
        </w:rPr>
        <w:t> Zjistí-li dodavatel, že reklamace je neoprávněná, budou náklady spojené se zjištěním rozsahu škody a opravou odběrateli vyúčtovány v plné výši.</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9.9</w:t>
      </w:r>
      <w:r w:rsidRPr="002E4BC6">
        <w:rPr>
          <w:rFonts w:ascii="inherit" w:eastAsia="Times New Roman" w:hAnsi="inherit" w:cs="Arial"/>
          <w:color w:val="343434"/>
          <w:sz w:val="21"/>
          <w:szCs w:val="21"/>
          <w:lang w:eastAsia="cs-CZ"/>
        </w:rPr>
        <w:t> Odběratel musí vracet dodavateli pouze vyčištěné zboží, pokud možno v originálním obalu nebo v obalu funkčně plně nahrazujícím původní balení.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9.10</w:t>
      </w:r>
      <w:r w:rsidRPr="002E4BC6">
        <w:rPr>
          <w:rFonts w:ascii="inherit" w:eastAsia="Times New Roman" w:hAnsi="inherit" w:cs="Arial"/>
          <w:color w:val="343434"/>
          <w:sz w:val="21"/>
          <w:szCs w:val="21"/>
          <w:lang w:eastAsia="cs-CZ"/>
        </w:rPr>
        <w:t> Dodavatel je oprávněn k zajištění záručního servisu použít třetích osob.</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9.11</w:t>
      </w:r>
      <w:r w:rsidRPr="002E4BC6">
        <w:rPr>
          <w:rFonts w:ascii="inherit" w:eastAsia="Times New Roman" w:hAnsi="inherit" w:cs="Arial"/>
          <w:color w:val="343434"/>
          <w:sz w:val="21"/>
          <w:szCs w:val="21"/>
          <w:lang w:eastAsia="cs-CZ"/>
        </w:rPr>
        <w:t> Dodavatel odpovídá za újmu způsobenou porušením jakékoliv povinnosti vyplývající ze smluvního vztahu s odběratelem maximálně do výše sjednané ceny za dodávku zboží či služeb odběrateli bez daně z přidané hodnoty.</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10. Servis</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10.1</w:t>
      </w:r>
      <w:r w:rsidRPr="002E4BC6">
        <w:rPr>
          <w:rFonts w:ascii="inherit" w:eastAsia="Times New Roman" w:hAnsi="inherit" w:cs="Arial"/>
          <w:color w:val="343434"/>
          <w:sz w:val="21"/>
          <w:szCs w:val="21"/>
          <w:lang w:eastAsia="cs-CZ"/>
        </w:rPr>
        <w:t> Na dodané přístroje zajišťuje dodavatel záruční i pozáruční servis. Místem provedení servisního zásahu je sídlo dodavatele. Při požadavku na servisní zásah v sídle odběratele je vždy účtováno cestovné servisního technika ve výši 12,- Kč/km. V případě pozáručního servisu je účtován spotřebovaný materiál, náhradní díly a práce servisního technika ve výši 490,- Kč/hodinu.</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10.2</w:t>
      </w:r>
      <w:r w:rsidRPr="002E4BC6">
        <w:rPr>
          <w:rFonts w:ascii="inherit" w:eastAsia="Times New Roman" w:hAnsi="inherit" w:cs="Arial"/>
          <w:color w:val="343434"/>
          <w:sz w:val="21"/>
          <w:szCs w:val="21"/>
          <w:lang w:eastAsia="cs-CZ"/>
        </w:rPr>
        <w:t> Dodavatel je oprávněn k zajištění servisu použít třetích osob.</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lastRenderedPageBreak/>
        <w:t>10.3</w:t>
      </w:r>
      <w:r w:rsidRPr="002E4BC6">
        <w:rPr>
          <w:rFonts w:ascii="inherit" w:eastAsia="Times New Roman" w:hAnsi="inherit" w:cs="Arial"/>
          <w:color w:val="343434"/>
          <w:sz w:val="21"/>
          <w:szCs w:val="21"/>
          <w:lang w:eastAsia="cs-CZ"/>
        </w:rPr>
        <w:t> U pozáručního servisu je nejprve provedena diagnostika závady a odběratel je seznámen s předpokládaným rozsahem a cenou opravy. Dodavatel započne servis až na základě souhlasu odběratele s nabídnutými podmínkami.</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11. Ochrana osobních dat zákazníků</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11.1</w:t>
      </w:r>
      <w:r w:rsidRPr="002E4BC6">
        <w:rPr>
          <w:rFonts w:ascii="inherit" w:eastAsia="Times New Roman" w:hAnsi="inherit" w:cs="Arial"/>
          <w:color w:val="343434"/>
          <w:sz w:val="21"/>
          <w:szCs w:val="21"/>
          <w:lang w:eastAsia="cs-CZ"/>
        </w:rPr>
        <w:t> Společnost HELAGO-CZ, s.r.o. prohlašuje, že zpracování osobních údajů probíhá v souladu s ustanoveními zákona č. 101/2000 Sb., o ochraně osobních údajů a v souladu s Nařízení Evropského parlamentu a Rady EU č. 2016/679 ze dne 27. dubna 2016 známým jako GDPR (v textu dále jako Nařízení).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11.2</w:t>
      </w:r>
      <w:r w:rsidRPr="002E4BC6">
        <w:rPr>
          <w:rFonts w:ascii="inherit" w:eastAsia="Times New Roman" w:hAnsi="inherit" w:cs="Arial"/>
          <w:color w:val="343434"/>
          <w:sz w:val="21"/>
          <w:szCs w:val="21"/>
          <w:lang w:eastAsia="cs-CZ"/>
        </w:rPr>
        <w:t> Zpracování osobních údajů u služeb www.helago-cz.cz – e-shop je zákonné a probíhá na základě právního důvodu z titulu plnění smlouvy. Tím je zaručena zákonnost zpracování osobních údajů. Pro tento účel zpracování nepotřebujeme souhlas subjektu údajů.</w:t>
      </w:r>
    </w:p>
    <w:p w:rsidR="002E4BC6" w:rsidRPr="002E4BC6" w:rsidRDefault="002E4BC6" w:rsidP="002E4BC6">
      <w:pPr>
        <w:spacing w:after="36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t>Osobní údaje jsou zpracovány v tomto rozsahu:</w:t>
      </w:r>
    </w:p>
    <w:p w:rsidR="002E4BC6" w:rsidRPr="002E4BC6" w:rsidRDefault="002E4BC6" w:rsidP="002E4BC6">
      <w:pPr>
        <w:numPr>
          <w:ilvl w:val="0"/>
          <w:numId w:val="1"/>
        </w:numPr>
        <w:spacing w:after="0" w:line="360" w:lineRule="atLeast"/>
        <w:ind w:left="480" w:right="240"/>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t>Jméno a příjmení</w:t>
      </w:r>
    </w:p>
    <w:p w:rsidR="002E4BC6" w:rsidRPr="002E4BC6" w:rsidRDefault="002E4BC6" w:rsidP="002E4BC6">
      <w:pPr>
        <w:numPr>
          <w:ilvl w:val="0"/>
          <w:numId w:val="1"/>
        </w:numPr>
        <w:spacing w:after="0" w:line="360" w:lineRule="atLeast"/>
        <w:ind w:left="480" w:right="240"/>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t>Adresa</w:t>
      </w:r>
    </w:p>
    <w:p w:rsidR="002E4BC6" w:rsidRPr="002E4BC6" w:rsidRDefault="002E4BC6" w:rsidP="002E4BC6">
      <w:pPr>
        <w:numPr>
          <w:ilvl w:val="0"/>
          <w:numId w:val="1"/>
        </w:numPr>
        <w:spacing w:after="0" w:line="360" w:lineRule="atLeast"/>
        <w:ind w:left="480" w:right="240"/>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t>Telefon</w:t>
      </w:r>
    </w:p>
    <w:p w:rsidR="002E4BC6" w:rsidRPr="002E4BC6" w:rsidRDefault="002E4BC6" w:rsidP="002E4BC6">
      <w:pPr>
        <w:numPr>
          <w:ilvl w:val="0"/>
          <w:numId w:val="1"/>
        </w:numPr>
        <w:spacing w:after="0" w:line="360" w:lineRule="atLeast"/>
        <w:ind w:left="480" w:right="240"/>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t>E-mailová adresa</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11.3</w:t>
      </w:r>
      <w:r w:rsidRPr="002E4BC6">
        <w:rPr>
          <w:rFonts w:ascii="inherit" w:eastAsia="Times New Roman" w:hAnsi="inherit" w:cs="Arial"/>
          <w:color w:val="343434"/>
          <w:sz w:val="21"/>
          <w:szCs w:val="21"/>
          <w:lang w:eastAsia="cs-CZ"/>
        </w:rPr>
        <w:t> Osobní údaje zpracováváme po dobu trvání služby. Po skončení toho zákonného důvodu jsou údaje na uživatelském účtu anonymizovány. Výjimkou je pouze případ, kdy má pro další zpracování osobních údajů společnost HELAGO-CZ, s.r.o. oprávněný zájem.</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br/>
      </w:r>
      <w:r w:rsidRPr="002E4BC6">
        <w:rPr>
          <w:rFonts w:ascii="inherit" w:eastAsia="Times New Roman" w:hAnsi="inherit" w:cs="Arial"/>
          <w:b/>
          <w:bCs/>
          <w:color w:val="343434"/>
          <w:sz w:val="21"/>
          <w:szCs w:val="21"/>
          <w:bdr w:val="none" w:sz="0" w:space="0" w:color="auto" w:frame="1"/>
          <w:lang w:eastAsia="cs-CZ"/>
        </w:rPr>
        <w:t>11.4</w:t>
      </w:r>
      <w:r w:rsidRPr="002E4BC6">
        <w:rPr>
          <w:rFonts w:ascii="inherit" w:eastAsia="Times New Roman" w:hAnsi="inherit" w:cs="Arial"/>
          <w:color w:val="343434"/>
          <w:sz w:val="21"/>
          <w:szCs w:val="21"/>
          <w:lang w:eastAsia="cs-CZ"/>
        </w:rPr>
        <w:t> Osobní údaje neposkytujeme žádným třetím subjektům. Výjimkou jsou pouze situace, kdy je předání osobních údajů nutné pro plnění smlouvy.</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color w:val="343434"/>
          <w:sz w:val="21"/>
          <w:szCs w:val="21"/>
          <w:lang w:eastAsia="cs-CZ"/>
        </w:rPr>
        <w:br/>
      </w:r>
      <w:r w:rsidRPr="002E4BC6">
        <w:rPr>
          <w:rFonts w:ascii="inherit" w:eastAsia="Times New Roman" w:hAnsi="inherit" w:cs="Arial"/>
          <w:b/>
          <w:bCs/>
          <w:color w:val="343434"/>
          <w:sz w:val="21"/>
          <w:szCs w:val="21"/>
          <w:bdr w:val="none" w:sz="0" w:space="0" w:color="auto" w:frame="1"/>
          <w:lang w:eastAsia="cs-CZ"/>
        </w:rPr>
        <w:t>11.5</w:t>
      </w:r>
      <w:r w:rsidRPr="002E4BC6">
        <w:rPr>
          <w:rFonts w:ascii="inherit" w:eastAsia="Times New Roman" w:hAnsi="inherit" w:cs="Arial"/>
          <w:color w:val="343434"/>
          <w:sz w:val="21"/>
          <w:szCs w:val="21"/>
          <w:lang w:eastAsia="cs-CZ"/>
        </w:rPr>
        <w:t> Kromě zmíněných osobních údajů zpracováváme provozní a lokalizační záznamy. Děje se tak na základě zákonného důvodu plnění právních povinností, které nám ukládá § 97 odst. 3 zákona č. 127/2005 Sb., o elektronických komunikacích a o změně některých souvisejících zákonů (zákon o elektronických komunikacích).</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12. Závěrečné ustanovení</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12.1</w:t>
      </w:r>
      <w:r w:rsidRPr="002E4BC6">
        <w:rPr>
          <w:rFonts w:ascii="inherit" w:eastAsia="Times New Roman" w:hAnsi="inherit" w:cs="Arial"/>
          <w:color w:val="343434"/>
          <w:sz w:val="21"/>
          <w:szCs w:val="21"/>
          <w:lang w:eastAsia="cs-CZ"/>
        </w:rPr>
        <w:t> Nestanoví-li kupní smlouva nebo jiné písemné ujednání mezi dodavatelem a odběratelem jinak, vyjadřuje odběratel odesláním objednávky souhlas s těmito všeobecnými obchodními podmínkami.</w:t>
      </w:r>
    </w:p>
    <w:p w:rsidR="002E4BC6" w:rsidRPr="002E4BC6" w:rsidRDefault="002E4BC6" w:rsidP="002E4BC6">
      <w:pPr>
        <w:spacing w:after="0"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12.2</w:t>
      </w:r>
      <w:r w:rsidRPr="002E4BC6">
        <w:rPr>
          <w:rFonts w:ascii="inherit" w:eastAsia="Times New Roman" w:hAnsi="inherit" w:cs="Arial"/>
          <w:color w:val="343434"/>
          <w:sz w:val="21"/>
          <w:szCs w:val="21"/>
          <w:lang w:eastAsia="cs-CZ"/>
        </w:rPr>
        <w:t> Práva a povinnosti vyplývající ze vztahů mezi dodavatelem a odběratelem se řídí českým právním řádem.</w:t>
      </w:r>
    </w:p>
    <w:p w:rsidR="002E4BC6" w:rsidRPr="002E4BC6" w:rsidRDefault="002E4BC6" w:rsidP="002E4BC6">
      <w:pPr>
        <w:spacing w:line="360" w:lineRule="atLeast"/>
        <w:jc w:val="both"/>
        <w:textAlignment w:val="baseline"/>
        <w:rPr>
          <w:rFonts w:ascii="inherit" w:eastAsia="Times New Roman" w:hAnsi="inherit" w:cs="Arial"/>
          <w:color w:val="343434"/>
          <w:sz w:val="21"/>
          <w:szCs w:val="21"/>
          <w:lang w:eastAsia="cs-CZ"/>
        </w:rPr>
      </w:pPr>
      <w:r w:rsidRPr="002E4BC6">
        <w:rPr>
          <w:rFonts w:ascii="inherit" w:eastAsia="Times New Roman" w:hAnsi="inherit" w:cs="Arial"/>
          <w:b/>
          <w:bCs/>
          <w:color w:val="343434"/>
          <w:sz w:val="21"/>
          <w:szCs w:val="21"/>
          <w:bdr w:val="none" w:sz="0" w:space="0" w:color="auto" w:frame="1"/>
          <w:lang w:eastAsia="cs-CZ"/>
        </w:rPr>
        <w:t>12.3</w:t>
      </w:r>
      <w:r w:rsidRPr="002E4BC6">
        <w:rPr>
          <w:rFonts w:ascii="inherit" w:eastAsia="Times New Roman" w:hAnsi="inherit" w:cs="Arial"/>
          <w:color w:val="343434"/>
          <w:sz w:val="21"/>
          <w:szCs w:val="21"/>
          <w:lang w:eastAsia="cs-CZ"/>
        </w:rPr>
        <w:t> Tyto všeobecné obchodní podmínky nabývají platnosti a účinnosti dne 2.5.2018 a nahrazují v plném rozsahu veškeré dřívější všeobecné obchodní podmínky.</w:t>
      </w:r>
    </w:p>
    <w:p w:rsidR="00AE5430" w:rsidRDefault="00AE5430">
      <w:bookmarkStart w:id="0" w:name="_GoBack"/>
      <w:bookmarkEnd w:id="0"/>
    </w:p>
    <w:sectPr w:rsidR="00AE5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77020"/>
    <w:multiLevelType w:val="multilevel"/>
    <w:tmpl w:val="93A2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C6"/>
    <w:rsid w:val="002E4BC6"/>
    <w:rsid w:val="00AE5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D6DCF-1659-467C-BBC0-5269B6A3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E4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4BC6"/>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2E4BC6"/>
    <w:rPr>
      <w:color w:val="0000FF"/>
      <w:u w:val="single"/>
    </w:rPr>
  </w:style>
  <w:style w:type="paragraph" w:customStyle="1" w:styleId="aj">
    <w:name w:val="aj"/>
    <w:basedOn w:val="Normln"/>
    <w:rsid w:val="002E4B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4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769">
      <w:bodyDiv w:val="1"/>
      <w:marLeft w:val="0"/>
      <w:marRight w:val="0"/>
      <w:marTop w:val="0"/>
      <w:marBottom w:val="0"/>
      <w:divBdr>
        <w:top w:val="none" w:sz="0" w:space="0" w:color="auto"/>
        <w:left w:val="none" w:sz="0" w:space="0" w:color="auto"/>
        <w:bottom w:val="none" w:sz="0" w:space="0" w:color="auto"/>
        <w:right w:val="none" w:sz="0" w:space="0" w:color="auto"/>
      </w:divBdr>
      <w:divsChild>
        <w:div w:id="577404750">
          <w:marLeft w:val="0"/>
          <w:marRight w:val="0"/>
          <w:marTop w:val="0"/>
          <w:marBottom w:val="675"/>
          <w:divBdr>
            <w:top w:val="none" w:sz="0" w:space="0" w:color="auto"/>
            <w:left w:val="none" w:sz="0" w:space="0" w:color="auto"/>
            <w:bottom w:val="none" w:sz="0" w:space="0" w:color="auto"/>
            <w:right w:val="none" w:sz="0" w:space="0" w:color="auto"/>
          </w:divBdr>
          <w:divsChild>
            <w:div w:id="304551024">
              <w:marLeft w:val="0"/>
              <w:marRight w:val="0"/>
              <w:marTop w:val="0"/>
              <w:marBottom w:val="0"/>
              <w:divBdr>
                <w:top w:val="none" w:sz="0" w:space="0" w:color="auto"/>
                <w:left w:val="none" w:sz="0" w:space="0" w:color="auto"/>
                <w:bottom w:val="none" w:sz="0" w:space="0" w:color="auto"/>
                <w:right w:val="none" w:sz="0" w:space="0" w:color="auto"/>
              </w:divBdr>
              <w:divsChild>
                <w:div w:id="441848790">
                  <w:marLeft w:val="0"/>
                  <w:marRight w:val="0"/>
                  <w:marTop w:val="0"/>
                  <w:marBottom w:val="0"/>
                  <w:divBdr>
                    <w:top w:val="none" w:sz="0" w:space="0" w:color="auto"/>
                    <w:left w:val="none" w:sz="0" w:space="0" w:color="auto"/>
                    <w:bottom w:val="none" w:sz="0" w:space="0" w:color="auto"/>
                    <w:right w:val="none" w:sz="0" w:space="0" w:color="auto"/>
                  </w:divBdr>
                  <w:divsChild>
                    <w:div w:id="535197569">
                      <w:marLeft w:val="0"/>
                      <w:marRight w:val="0"/>
                      <w:marTop w:val="0"/>
                      <w:marBottom w:val="0"/>
                      <w:divBdr>
                        <w:top w:val="none" w:sz="0" w:space="0" w:color="auto"/>
                        <w:left w:val="none" w:sz="0" w:space="0" w:color="auto"/>
                        <w:bottom w:val="none" w:sz="0" w:space="0" w:color="auto"/>
                        <w:right w:val="none" w:sz="0" w:space="0" w:color="auto"/>
                      </w:divBdr>
                    </w:div>
                    <w:div w:id="811288632">
                      <w:marLeft w:val="0"/>
                      <w:marRight w:val="0"/>
                      <w:marTop w:val="0"/>
                      <w:marBottom w:val="0"/>
                      <w:divBdr>
                        <w:top w:val="none" w:sz="0" w:space="0" w:color="auto"/>
                        <w:left w:val="none" w:sz="0" w:space="0" w:color="auto"/>
                        <w:bottom w:val="none" w:sz="0" w:space="0" w:color="auto"/>
                        <w:right w:val="none" w:sz="0" w:space="0" w:color="auto"/>
                      </w:divBdr>
                    </w:div>
                    <w:div w:id="823276175">
                      <w:marLeft w:val="0"/>
                      <w:marRight w:val="0"/>
                      <w:marTop w:val="0"/>
                      <w:marBottom w:val="0"/>
                      <w:divBdr>
                        <w:top w:val="none" w:sz="0" w:space="0" w:color="auto"/>
                        <w:left w:val="none" w:sz="0" w:space="0" w:color="auto"/>
                        <w:bottom w:val="none" w:sz="0" w:space="0" w:color="auto"/>
                        <w:right w:val="none" w:sz="0" w:space="0" w:color="auto"/>
                      </w:divBdr>
                    </w:div>
                    <w:div w:id="771361968">
                      <w:marLeft w:val="0"/>
                      <w:marRight w:val="0"/>
                      <w:marTop w:val="0"/>
                      <w:marBottom w:val="0"/>
                      <w:divBdr>
                        <w:top w:val="none" w:sz="0" w:space="0" w:color="auto"/>
                        <w:left w:val="none" w:sz="0" w:space="0" w:color="auto"/>
                        <w:bottom w:val="none" w:sz="0" w:space="0" w:color="auto"/>
                        <w:right w:val="none" w:sz="0" w:space="0" w:color="auto"/>
                      </w:divBdr>
                    </w:div>
                    <w:div w:id="1521429806">
                      <w:marLeft w:val="0"/>
                      <w:marRight w:val="0"/>
                      <w:marTop w:val="0"/>
                      <w:marBottom w:val="0"/>
                      <w:divBdr>
                        <w:top w:val="none" w:sz="0" w:space="0" w:color="auto"/>
                        <w:left w:val="none" w:sz="0" w:space="0" w:color="auto"/>
                        <w:bottom w:val="none" w:sz="0" w:space="0" w:color="auto"/>
                        <w:right w:val="none" w:sz="0" w:space="0" w:color="auto"/>
                      </w:divBdr>
                    </w:div>
                    <w:div w:id="1625380410">
                      <w:marLeft w:val="0"/>
                      <w:marRight w:val="0"/>
                      <w:marTop w:val="0"/>
                      <w:marBottom w:val="0"/>
                      <w:divBdr>
                        <w:top w:val="none" w:sz="0" w:space="0" w:color="auto"/>
                        <w:left w:val="none" w:sz="0" w:space="0" w:color="auto"/>
                        <w:bottom w:val="none" w:sz="0" w:space="0" w:color="auto"/>
                        <w:right w:val="none" w:sz="0" w:space="0" w:color="auto"/>
                      </w:divBdr>
                    </w:div>
                    <w:div w:id="346910399">
                      <w:marLeft w:val="0"/>
                      <w:marRight w:val="0"/>
                      <w:marTop w:val="0"/>
                      <w:marBottom w:val="0"/>
                      <w:divBdr>
                        <w:top w:val="none" w:sz="0" w:space="0" w:color="auto"/>
                        <w:left w:val="none" w:sz="0" w:space="0" w:color="auto"/>
                        <w:bottom w:val="none" w:sz="0" w:space="0" w:color="auto"/>
                        <w:right w:val="none" w:sz="0" w:space="0" w:color="auto"/>
                      </w:divBdr>
                    </w:div>
                    <w:div w:id="832375337">
                      <w:marLeft w:val="0"/>
                      <w:marRight w:val="0"/>
                      <w:marTop w:val="0"/>
                      <w:marBottom w:val="0"/>
                      <w:divBdr>
                        <w:top w:val="none" w:sz="0" w:space="0" w:color="auto"/>
                        <w:left w:val="none" w:sz="0" w:space="0" w:color="auto"/>
                        <w:bottom w:val="none" w:sz="0" w:space="0" w:color="auto"/>
                        <w:right w:val="none" w:sz="0" w:space="0" w:color="auto"/>
                      </w:divBdr>
                    </w:div>
                    <w:div w:id="1157526556">
                      <w:marLeft w:val="0"/>
                      <w:marRight w:val="0"/>
                      <w:marTop w:val="0"/>
                      <w:marBottom w:val="0"/>
                      <w:divBdr>
                        <w:top w:val="none" w:sz="0" w:space="0" w:color="auto"/>
                        <w:left w:val="none" w:sz="0" w:space="0" w:color="auto"/>
                        <w:bottom w:val="none" w:sz="0" w:space="0" w:color="auto"/>
                        <w:right w:val="none" w:sz="0" w:space="0" w:color="auto"/>
                      </w:divBdr>
                    </w:div>
                    <w:div w:id="318384197">
                      <w:marLeft w:val="0"/>
                      <w:marRight w:val="0"/>
                      <w:marTop w:val="0"/>
                      <w:marBottom w:val="0"/>
                      <w:divBdr>
                        <w:top w:val="none" w:sz="0" w:space="0" w:color="auto"/>
                        <w:left w:val="none" w:sz="0" w:space="0" w:color="auto"/>
                        <w:bottom w:val="none" w:sz="0" w:space="0" w:color="auto"/>
                        <w:right w:val="none" w:sz="0" w:space="0" w:color="auto"/>
                      </w:divBdr>
                    </w:div>
                    <w:div w:id="1794246349">
                      <w:marLeft w:val="0"/>
                      <w:marRight w:val="0"/>
                      <w:marTop w:val="0"/>
                      <w:marBottom w:val="0"/>
                      <w:divBdr>
                        <w:top w:val="none" w:sz="0" w:space="0" w:color="auto"/>
                        <w:left w:val="none" w:sz="0" w:space="0" w:color="auto"/>
                        <w:bottom w:val="none" w:sz="0" w:space="0" w:color="auto"/>
                        <w:right w:val="none" w:sz="0" w:space="0" w:color="auto"/>
                      </w:divBdr>
                    </w:div>
                    <w:div w:id="1723408076">
                      <w:marLeft w:val="0"/>
                      <w:marRight w:val="0"/>
                      <w:marTop w:val="0"/>
                      <w:marBottom w:val="0"/>
                      <w:divBdr>
                        <w:top w:val="none" w:sz="0" w:space="0" w:color="auto"/>
                        <w:left w:val="none" w:sz="0" w:space="0" w:color="auto"/>
                        <w:bottom w:val="none" w:sz="0" w:space="0" w:color="auto"/>
                        <w:right w:val="none" w:sz="0" w:space="0" w:color="auto"/>
                      </w:divBdr>
                    </w:div>
                    <w:div w:id="4456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ago-cz.cz/obchodni-podminky.html" TargetMode="External"/><Relationship Id="rId13" Type="http://schemas.openxmlformats.org/officeDocument/2006/relationships/hyperlink" Target="https://www.helago-cz.cz/obchodni-podmink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ago-cz.cz/obchodni-podminky.html" TargetMode="External"/><Relationship Id="rId12" Type="http://schemas.openxmlformats.org/officeDocument/2006/relationships/hyperlink" Target="https://www.helago-cz.cz/obchodni-podminky.html" TargetMode="External"/><Relationship Id="rId17" Type="http://schemas.openxmlformats.org/officeDocument/2006/relationships/hyperlink" Target="https://www.helago-cz.cz/bonus-program.html" TargetMode="External"/><Relationship Id="rId2" Type="http://schemas.openxmlformats.org/officeDocument/2006/relationships/styles" Target="styles.xml"/><Relationship Id="rId16" Type="http://schemas.openxmlformats.org/officeDocument/2006/relationships/hyperlink" Target="https://www.helago-cz.cz/obchodni-podminky.html" TargetMode="External"/><Relationship Id="rId1" Type="http://schemas.openxmlformats.org/officeDocument/2006/relationships/numbering" Target="numbering.xml"/><Relationship Id="rId6" Type="http://schemas.openxmlformats.org/officeDocument/2006/relationships/hyperlink" Target="https://www.helago-cz.cz/obchodni-podminky.html" TargetMode="External"/><Relationship Id="rId11" Type="http://schemas.openxmlformats.org/officeDocument/2006/relationships/hyperlink" Target="https://www.helago-cz.cz/obchodni-podminky.html" TargetMode="External"/><Relationship Id="rId5" Type="http://schemas.openxmlformats.org/officeDocument/2006/relationships/hyperlink" Target="https://www.helago-cz.cz/obchodni-podminky.html" TargetMode="External"/><Relationship Id="rId15" Type="http://schemas.openxmlformats.org/officeDocument/2006/relationships/hyperlink" Target="https://www.helago-cz.cz/obchodni-podminky.html" TargetMode="External"/><Relationship Id="rId10" Type="http://schemas.openxmlformats.org/officeDocument/2006/relationships/hyperlink" Target="https://www.helago-cz.cz/obchodni-podmink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lago-cz.cz/obchodni-podminky.html" TargetMode="External"/><Relationship Id="rId14" Type="http://schemas.openxmlformats.org/officeDocument/2006/relationships/hyperlink" Target="https://www.helago-cz.cz/obchodni-podminky.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12252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kavrik</dc:creator>
  <cp:keywords/>
  <dc:description/>
  <cp:lastModifiedBy>kavrik</cp:lastModifiedBy>
  <cp:revision>1</cp:revision>
  <dcterms:created xsi:type="dcterms:W3CDTF">2018-06-18T12:55:00Z</dcterms:created>
  <dcterms:modified xsi:type="dcterms:W3CDTF">2018-06-18T12:55:00Z</dcterms:modified>
</cp:coreProperties>
</file>