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524290">
        <w:rPr>
          <w:rFonts w:asciiTheme="majorHAnsi" w:hAnsiTheme="majorHAnsi"/>
          <w:bCs/>
          <w:lang w:val="cs-CZ"/>
        </w:rPr>
        <w:t xml:space="preserve"> </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3F2978">
        <w:rPr>
          <w:rFonts w:asciiTheme="majorHAnsi" w:hAnsiTheme="majorHAnsi"/>
          <w:lang w:val="cs-CZ"/>
        </w:rPr>
        <w:tab/>
      </w:r>
      <w:r w:rsidR="003F2978">
        <w:rPr>
          <w:rFonts w:asciiTheme="majorHAnsi" w:hAnsiTheme="majorHAnsi"/>
          <w:b/>
          <w:lang w:val="pt-BR"/>
        </w:rPr>
        <w:t>penzion Arnika</w:t>
      </w:r>
      <w:r w:rsidR="001E5F44" w:rsidRPr="00233852">
        <w:rPr>
          <w:rFonts w:asciiTheme="majorHAnsi" w:hAnsiTheme="majorHAnsi"/>
          <w:lang w:val="pt-BR"/>
        </w:rPr>
        <w:t xml:space="preserve">, </w:t>
      </w:r>
      <w:r w:rsidR="003F2978" w:rsidRPr="003F2978">
        <w:rPr>
          <w:rFonts w:asciiTheme="majorHAnsi" w:hAnsiTheme="majorHAnsi"/>
          <w:lang w:val="pt-BR"/>
        </w:rPr>
        <w:t>Roudnice 69, 514 01 Jestřabí v Krkonoších</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D23EE5" w:rsidRDefault="00233852" w:rsidP="00233852">
      <w:pPr>
        <w:rPr>
          <w:rFonts w:asciiTheme="majorHAnsi" w:hAnsiTheme="majorHAnsi"/>
          <w:bCs/>
          <w:lang w:val="cs-CZ"/>
        </w:rPr>
      </w:pPr>
      <w:r w:rsidRPr="00D23EE5">
        <w:rPr>
          <w:rFonts w:asciiTheme="majorHAnsi" w:hAnsiTheme="majorHAnsi"/>
          <w:bCs/>
          <w:lang w:val="cs-CZ"/>
        </w:rPr>
        <w:t xml:space="preserve">Dopravu zajišťuje Dodavatel. </w:t>
      </w:r>
    </w:p>
    <w:p w:rsidR="00233852" w:rsidRPr="001B6ABE" w:rsidRDefault="00233852" w:rsidP="00233852">
      <w:pPr>
        <w:tabs>
          <w:tab w:val="left" w:pos="851"/>
        </w:tabs>
        <w:rPr>
          <w:rFonts w:asciiTheme="majorHAnsi" w:hAnsiTheme="majorHAnsi"/>
          <w:b/>
          <w:bCs/>
          <w:lang w:val="cs-CZ"/>
        </w:rPr>
      </w:pP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1B6ABE" w:rsidRDefault="00233852" w:rsidP="00233852">
      <w:pPr>
        <w:rPr>
          <w:rFonts w:asciiTheme="majorHAnsi" w:hAnsiTheme="majorHAnsi"/>
          <w:b/>
          <w:bCs/>
          <w:lang w:val="pt-BR"/>
        </w:rPr>
      </w:pPr>
      <w:r w:rsidRPr="001B6ABE">
        <w:rPr>
          <w:rFonts w:asciiTheme="majorHAnsi" w:hAnsiTheme="majorHAnsi"/>
          <w:lang w:val="cs-CZ"/>
        </w:rPr>
        <w:t xml:space="preserve">Předběžný počet žáků: </w:t>
      </w:r>
    </w:p>
    <w:p w:rsidR="00233852" w:rsidRPr="00233852" w:rsidRDefault="00233852" w:rsidP="00233852">
      <w:pPr>
        <w:jc w:val="both"/>
        <w:rPr>
          <w:rFonts w:asciiTheme="majorHAnsi" w:hAnsiTheme="majorHAnsi"/>
          <w:lang w:val="cs-CZ"/>
        </w:rPr>
      </w:pPr>
    </w:p>
    <w:p w:rsidR="00233852" w:rsidRPr="00D23EE5" w:rsidRDefault="00233852" w:rsidP="00233852">
      <w:pPr>
        <w:pStyle w:val="Odstavecseseznamem"/>
        <w:numPr>
          <w:ilvl w:val="0"/>
          <w:numId w:val="19"/>
        </w:numPr>
        <w:rPr>
          <w:rFonts w:asciiTheme="majorHAnsi" w:hAnsiTheme="majorHAnsi"/>
          <w:lang w:val="cs-CZ"/>
        </w:rPr>
      </w:pPr>
      <w:r w:rsidRPr="00D23EE5">
        <w:rPr>
          <w:rFonts w:asciiTheme="majorHAnsi" w:hAnsiTheme="majorHAnsi"/>
          <w:b/>
          <w:bCs/>
          <w:lang w:val="cs-CZ"/>
        </w:rPr>
        <w:t xml:space="preserve">Program školy v přírodě </w:t>
      </w:r>
      <w:r w:rsidR="00D23EE5" w:rsidRPr="00D23EE5">
        <w:rPr>
          <w:rFonts w:asciiTheme="majorHAnsi" w:hAnsiTheme="majorHAnsi"/>
          <w:i/>
          <w:lang w:val="cs-CZ"/>
        </w:rPr>
        <w:t>Harry Potter</w:t>
      </w:r>
    </w:p>
    <w:p w:rsidR="006C67B9" w:rsidRPr="006C67B9" w:rsidRDefault="006C67B9" w:rsidP="006C67B9">
      <w:pPr>
        <w:jc w:val="both"/>
        <w:rPr>
          <w:rFonts w:asciiTheme="majorHAnsi" w:hAnsiTheme="majorHAnsi"/>
          <w:lang w:val="cs-CZ"/>
        </w:rPr>
      </w:pPr>
      <w:r w:rsidRPr="00D23EE5">
        <w:rPr>
          <w:rFonts w:asciiTheme="majorHAnsi" w:hAnsiTheme="majorHAnsi"/>
          <w:lang w:val="cs-CZ"/>
        </w:rPr>
        <w:t>Dodavatel se zavazuje zajistit program od</w:t>
      </w:r>
      <w:r w:rsidRPr="006C67B9">
        <w:rPr>
          <w:rFonts w:asciiTheme="majorHAnsi" w:hAnsiTheme="majorHAnsi"/>
          <w:lang w:val="cs-CZ"/>
        </w:rPr>
        <w:t xml:space="preserve">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 xml:space="preserve">Ve dvoulůžkových až </w:t>
      </w:r>
      <w:r w:rsidR="003F2978">
        <w:rPr>
          <w:rFonts w:asciiTheme="majorHAnsi" w:hAnsiTheme="majorHAnsi"/>
          <w:lang w:val="cs-CZ"/>
        </w:rPr>
        <w:t>šesti</w:t>
      </w:r>
      <w:r w:rsidRPr="00233852">
        <w:rPr>
          <w:rFonts w:asciiTheme="majorHAnsi" w:hAnsiTheme="majorHAnsi"/>
          <w:lang w:val="cs-CZ"/>
        </w:rPr>
        <w:t xml:space="preserve">lůžkových pokojích s vlastním nebo společným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lastRenderedPageBreak/>
        <w:t>C</w:t>
      </w:r>
      <w:r w:rsidRPr="001B6ABE">
        <w:rPr>
          <w:rFonts w:asciiTheme="majorHAnsi" w:hAnsiTheme="majorHAnsi"/>
          <w:b/>
          <w:lang w:val="cs-CZ"/>
        </w:rPr>
        <w:t>ena za pobyt</w:t>
      </w:r>
      <w:r w:rsidRPr="001B6ABE">
        <w:rPr>
          <w:rFonts w:asciiTheme="majorHAnsi" w:hAnsiTheme="majorHAnsi"/>
          <w:lang w:val="cs-CZ"/>
        </w:rPr>
        <w:t xml:space="preserve"> činí </w:t>
      </w:r>
      <w:r w:rsidR="00524290">
        <w:rPr>
          <w:rFonts w:asciiTheme="majorHAnsi" w:hAnsiTheme="majorHAnsi"/>
          <w:lang w:val="cs-CZ"/>
        </w:rPr>
        <w:t xml:space="preserve">……… </w:t>
      </w:r>
      <w:r w:rsidR="0066466F" w:rsidRPr="001B6ABE">
        <w:rPr>
          <w:rFonts w:asciiTheme="majorHAnsi" w:hAnsiTheme="majorHAnsi"/>
          <w:lang w:val="cs-CZ"/>
        </w:rPr>
        <w:t>za žáka</w:t>
      </w:r>
      <w:r w:rsidRPr="001B6ABE">
        <w:rPr>
          <w:rFonts w:asciiTheme="majorHAnsi" w:hAnsiTheme="majorHAnsi"/>
          <w:lang w:val="cs-CZ"/>
        </w:rPr>
        <w:t xml:space="preserve">. </w:t>
      </w:r>
      <w:r w:rsidRPr="001B6ABE">
        <w:rPr>
          <w:rFonts w:asciiTheme="majorHAnsi" w:hAnsiTheme="majorHAnsi"/>
          <w:color w:val="000000"/>
          <w:lang w:val="cs-CZ"/>
        </w:rPr>
        <w:t xml:space="preserve">Tato cena je zaručena při dodržení výše uvedeného předběžného počtu žáků s tolerancí - </w:t>
      </w:r>
      <w:r w:rsidR="003F2978">
        <w:rPr>
          <w:rFonts w:asciiTheme="majorHAnsi" w:hAnsiTheme="majorHAnsi"/>
          <w:color w:val="000000"/>
          <w:lang w:val="cs-CZ"/>
        </w:rPr>
        <w:t>2</w:t>
      </w:r>
      <w:r w:rsidRPr="001B6ABE">
        <w:rPr>
          <w:rFonts w:asciiTheme="majorHAnsi" w:hAnsiTheme="majorHAnsi"/>
          <w:color w:val="000000"/>
          <w:lang w:val="cs-CZ"/>
        </w:rPr>
        <w:t xml:space="preserve"> žáků.</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3F2978">
        <w:rPr>
          <w:rFonts w:asciiTheme="majorHAnsi" w:hAnsiTheme="majorHAnsi"/>
          <w:lang w:val="cs-CZ"/>
        </w:rPr>
        <w:t>151</w:t>
      </w:r>
      <w:r w:rsidR="001B6ABE" w:rsidRPr="001B6ABE">
        <w:rPr>
          <w:rFonts w:asciiTheme="majorHAnsi" w:hAnsiTheme="majorHAnsi"/>
          <w:lang w:val="cs-CZ"/>
        </w:rPr>
        <w:t>.</w:t>
      </w:r>
      <w:r w:rsidR="003F2978">
        <w:rPr>
          <w:rFonts w:asciiTheme="majorHAnsi" w:hAnsiTheme="majorHAnsi"/>
          <w:lang w:val="cs-CZ"/>
        </w:rPr>
        <w:t>34</w:t>
      </w:r>
      <w:r w:rsidR="001B6ABE" w:rsidRPr="001B6ABE">
        <w:rPr>
          <w:rFonts w:asciiTheme="majorHAnsi" w:hAnsiTheme="majorHAnsi"/>
          <w:lang w:val="cs-CZ"/>
        </w:rPr>
        <w:t xml:space="preserve">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3F2978" w:rsidRDefault="003F2978" w:rsidP="003F2978">
      <w:pPr>
        <w:suppressAutoHyphens/>
        <w:rPr>
          <w:rFonts w:asciiTheme="majorHAnsi" w:hAnsiTheme="majorHAnsi"/>
          <w:bCs/>
          <w:lang w:val="cs-CZ"/>
        </w:rPr>
      </w:pPr>
      <w:r>
        <w:rPr>
          <w:rFonts w:asciiTheme="majorHAnsi" w:hAnsiTheme="majorHAnsi"/>
          <w:b/>
          <w:bCs/>
          <w:lang w:val="cs-CZ"/>
        </w:rPr>
        <w:t>Způsob úhrady</w:t>
      </w:r>
      <w:r>
        <w:rPr>
          <w:rFonts w:asciiTheme="majorHAnsi" w:hAnsiTheme="majorHAnsi"/>
          <w:bCs/>
          <w:lang w:val="cs-CZ"/>
        </w:rPr>
        <w:t xml:space="preserve"> si smluvní strany dohodly tak, že:</w:t>
      </w:r>
    </w:p>
    <w:p w:rsidR="003F2978" w:rsidRDefault="003F2978" w:rsidP="003F2978">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3F2978" w:rsidRDefault="003F2978" w:rsidP="003F2978">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BD4E90" w:rsidRPr="00233852" w:rsidRDefault="00BD4E90" w:rsidP="00BD4E90">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sidR="00D23EE5">
        <w:rPr>
          <w:rFonts w:asciiTheme="majorHAnsi" w:hAnsiTheme="majorHAnsi"/>
          <w:iCs/>
          <w:lang w:val="cs-CZ"/>
        </w:rPr>
        <w:t xml:space="preserve"> 8. 6. </w:t>
      </w:r>
      <w:bookmarkStart w:id="0" w:name="_GoBack"/>
      <w:bookmarkEnd w:id="0"/>
      <w:r w:rsidR="00D23EE5">
        <w:rPr>
          <w:rFonts w:asciiTheme="majorHAnsi" w:hAnsiTheme="majorHAnsi"/>
          <w:iCs/>
          <w:lang w:val="cs-CZ"/>
        </w:rPr>
        <w:t>2018</w:t>
      </w:r>
      <w:r w:rsidRPr="00233852">
        <w:rPr>
          <w:rFonts w:asciiTheme="majorHAnsi" w:hAnsiTheme="majorHAnsi"/>
          <w:iCs/>
          <w:lang w:val="cs-CZ"/>
        </w:rPr>
        <w:tab/>
      </w:r>
    </w:p>
    <w:p w:rsidR="00BD4E90" w:rsidRPr="00233852" w:rsidRDefault="00BD4E90" w:rsidP="00BD4E90">
      <w:pPr>
        <w:rPr>
          <w:rFonts w:asciiTheme="majorHAnsi" w:hAnsiTheme="majorHAnsi"/>
          <w:iCs/>
          <w:u w:val="single"/>
          <w:lang w:val="cs-CZ"/>
        </w:rPr>
      </w:pPr>
    </w:p>
    <w:p w:rsidR="00BD4E90" w:rsidRDefault="00524290" w:rsidP="00BD4E90">
      <w:pPr>
        <w:rPr>
          <w:rFonts w:asciiTheme="majorHAnsi" w:hAnsiTheme="majorHAnsi"/>
          <w:iCs/>
          <w:u w:val="single"/>
          <w:lang w:val="cs-CZ"/>
        </w:rPr>
      </w:pPr>
      <w:r>
        <w:rPr>
          <w:rFonts w:asciiTheme="majorHAnsi" w:hAnsiTheme="majorHAnsi"/>
          <w:iCs/>
          <w:noProof/>
          <w:u w:val="single"/>
          <w:lang w:val="cs-CZ"/>
        </w:rPr>
        <w:t xml:space="preserve">  </w:t>
      </w:r>
    </w:p>
    <w:p w:rsidR="00D23EE5" w:rsidRDefault="00D23EE5" w:rsidP="00BD4E90">
      <w:pPr>
        <w:rPr>
          <w:rFonts w:asciiTheme="majorHAnsi" w:hAnsiTheme="majorHAnsi"/>
          <w:iCs/>
          <w:u w:val="single"/>
          <w:lang w:val="cs-CZ"/>
        </w:rPr>
      </w:pPr>
    </w:p>
    <w:p w:rsidR="00D23EE5" w:rsidRPr="00233852" w:rsidRDefault="00D23EE5" w:rsidP="00BD4E90">
      <w:pPr>
        <w:rPr>
          <w:rFonts w:asciiTheme="majorHAnsi" w:hAnsiTheme="majorHAnsi"/>
          <w:iCs/>
          <w:u w:val="single"/>
          <w:lang w:val="cs-CZ"/>
        </w:rPr>
      </w:pPr>
    </w:p>
    <w:p w:rsidR="00BD4E90" w:rsidRPr="00233852" w:rsidRDefault="00BD4E90" w:rsidP="00BD4E90">
      <w:pPr>
        <w:rPr>
          <w:rFonts w:asciiTheme="majorHAnsi" w:hAnsiTheme="majorHAnsi"/>
          <w:iCs/>
          <w:u w:val="single"/>
          <w:lang w:val="cs-CZ"/>
        </w:rPr>
      </w:pPr>
    </w:p>
    <w:p w:rsidR="00BD4E90" w:rsidRPr="00233852" w:rsidRDefault="00BD4E90" w:rsidP="00BD4E90">
      <w:pPr>
        <w:rPr>
          <w:rFonts w:asciiTheme="majorHAnsi" w:hAnsiTheme="majorHAnsi"/>
          <w:iCs/>
          <w:u w:val="single"/>
          <w:lang w:val="cs-CZ"/>
        </w:rPr>
      </w:pPr>
    </w:p>
    <w:p w:rsidR="00BD4E90" w:rsidRPr="00233852" w:rsidRDefault="00BD4E90" w:rsidP="00BD4E90">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BD4E90" w:rsidRPr="00233852" w:rsidRDefault="00BD4E90" w:rsidP="00BD4E90">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BD4E90" w:rsidRPr="00233852" w:rsidRDefault="00BD4E90" w:rsidP="00BD4E90">
      <w:pPr>
        <w:suppressAutoHyphens/>
        <w:jc w:val="both"/>
        <w:rPr>
          <w:rFonts w:asciiTheme="majorHAnsi" w:hAnsiTheme="majorHAnsi"/>
          <w:b/>
          <w:color w:val="FF0000"/>
          <w:lang w:val="cs-CZ"/>
        </w:rPr>
      </w:pPr>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0A25"/>
    <w:rsid w:val="00325437"/>
    <w:rsid w:val="00343ADA"/>
    <w:rsid w:val="00347F7A"/>
    <w:rsid w:val="00384ED7"/>
    <w:rsid w:val="003A1B5D"/>
    <w:rsid w:val="003A51D1"/>
    <w:rsid w:val="003D02EB"/>
    <w:rsid w:val="003F2978"/>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7116"/>
    <w:rsid w:val="00524290"/>
    <w:rsid w:val="00526D4F"/>
    <w:rsid w:val="00526EF6"/>
    <w:rsid w:val="00546668"/>
    <w:rsid w:val="00550294"/>
    <w:rsid w:val="0056533B"/>
    <w:rsid w:val="00591AD3"/>
    <w:rsid w:val="005A49E9"/>
    <w:rsid w:val="005B1A7E"/>
    <w:rsid w:val="005E1215"/>
    <w:rsid w:val="005F3AE8"/>
    <w:rsid w:val="00604658"/>
    <w:rsid w:val="00607272"/>
    <w:rsid w:val="006179A4"/>
    <w:rsid w:val="00624D6D"/>
    <w:rsid w:val="006537E1"/>
    <w:rsid w:val="00654A60"/>
    <w:rsid w:val="0066466F"/>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94BF8"/>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E547D"/>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5EB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3BB1"/>
    <w:rsid w:val="00CA3B15"/>
    <w:rsid w:val="00CC5EF5"/>
    <w:rsid w:val="00CD07F1"/>
    <w:rsid w:val="00CE24D5"/>
    <w:rsid w:val="00CE2DB9"/>
    <w:rsid w:val="00CE5D8F"/>
    <w:rsid w:val="00CF0810"/>
    <w:rsid w:val="00CF1C98"/>
    <w:rsid w:val="00CF478F"/>
    <w:rsid w:val="00D047D2"/>
    <w:rsid w:val="00D23EE5"/>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1313</Words>
  <Characters>7751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10</cp:revision>
  <cp:lastPrinted>2015-08-04T11:40:00Z</cp:lastPrinted>
  <dcterms:created xsi:type="dcterms:W3CDTF">2018-05-28T10:54:00Z</dcterms:created>
  <dcterms:modified xsi:type="dcterms:W3CDTF">2018-06-18T06:10:00Z</dcterms:modified>
</cp:coreProperties>
</file>