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A0" w:rsidRDefault="00F06AA6">
      <w:pPr>
        <w:pStyle w:val="Nzev"/>
        <w:pBdr>
          <w:top w:val="nil"/>
          <w:left w:val="nil"/>
          <w:bottom w:val="nil"/>
          <w:right w:val="nil"/>
          <w:between w:val="nil"/>
        </w:pBdr>
        <w:jc w:val="center"/>
      </w:pPr>
      <w:bookmarkStart w:id="0" w:name="_oqwwegeya2q1" w:colFirst="0" w:colLast="0"/>
      <w:bookmarkEnd w:id="0"/>
      <w:r>
        <w:t>Smlouva o poskytování služeb podpory a správy IT</w:t>
      </w:r>
    </w:p>
    <w:p w:rsidR="00EB27A0" w:rsidRDefault="00EB27A0">
      <w:pPr>
        <w:pBdr>
          <w:top w:val="nil"/>
          <w:left w:val="nil"/>
          <w:bottom w:val="nil"/>
          <w:right w:val="nil"/>
          <w:between w:val="nil"/>
        </w:pBdr>
        <w:jc w:val="center"/>
        <w:rPr>
          <w:sz w:val="20"/>
          <w:szCs w:val="20"/>
        </w:rPr>
      </w:pPr>
    </w:p>
    <w:p w:rsidR="00EB27A0" w:rsidRDefault="00F06AA6">
      <w:pPr>
        <w:pBdr>
          <w:top w:val="nil"/>
          <w:left w:val="nil"/>
          <w:bottom w:val="nil"/>
          <w:right w:val="nil"/>
          <w:between w:val="nil"/>
        </w:pBdr>
        <w:tabs>
          <w:tab w:val="left" w:pos="1530"/>
        </w:tabs>
        <w:rPr>
          <w:b/>
          <w:sz w:val="20"/>
          <w:szCs w:val="20"/>
        </w:rPr>
      </w:pPr>
      <w:r>
        <w:rPr>
          <w:b/>
          <w:sz w:val="20"/>
          <w:szCs w:val="20"/>
        </w:rPr>
        <w:t>Uživatel:</w:t>
      </w:r>
      <w:r>
        <w:rPr>
          <w:b/>
          <w:sz w:val="20"/>
          <w:szCs w:val="20"/>
        </w:rPr>
        <w:tab/>
        <w:t>Střední průmyslová škola elektrotechnická</w:t>
      </w:r>
    </w:p>
    <w:p w:rsidR="00EB27A0" w:rsidRDefault="00F06AA6">
      <w:pPr>
        <w:pBdr>
          <w:top w:val="nil"/>
          <w:left w:val="nil"/>
          <w:bottom w:val="nil"/>
          <w:right w:val="nil"/>
          <w:between w:val="nil"/>
        </w:pBdr>
        <w:tabs>
          <w:tab w:val="left" w:pos="1530"/>
        </w:tabs>
        <w:rPr>
          <w:sz w:val="20"/>
          <w:szCs w:val="20"/>
        </w:rPr>
      </w:pPr>
      <w:r>
        <w:rPr>
          <w:sz w:val="20"/>
          <w:szCs w:val="20"/>
        </w:rPr>
        <w:tab/>
        <w:t>V Úžlabině 320, 100 00 Praha 10</w:t>
      </w:r>
    </w:p>
    <w:p w:rsidR="00EB27A0" w:rsidRDefault="00F06AA6">
      <w:pPr>
        <w:pBdr>
          <w:top w:val="nil"/>
          <w:left w:val="nil"/>
          <w:bottom w:val="nil"/>
          <w:right w:val="nil"/>
          <w:between w:val="nil"/>
        </w:pBdr>
        <w:tabs>
          <w:tab w:val="left" w:pos="1530"/>
        </w:tabs>
        <w:rPr>
          <w:sz w:val="20"/>
          <w:szCs w:val="20"/>
        </w:rPr>
      </w:pPr>
      <w:r>
        <w:rPr>
          <w:sz w:val="20"/>
          <w:szCs w:val="20"/>
        </w:rPr>
        <w:tab/>
        <w:t>IČ: 61385409</w:t>
      </w:r>
    </w:p>
    <w:p w:rsidR="000C003A" w:rsidRDefault="00F06AA6">
      <w:pPr>
        <w:pBdr>
          <w:top w:val="nil"/>
          <w:left w:val="nil"/>
          <w:bottom w:val="nil"/>
          <w:right w:val="nil"/>
          <w:between w:val="nil"/>
        </w:pBdr>
        <w:tabs>
          <w:tab w:val="left" w:pos="1530"/>
        </w:tabs>
        <w:rPr>
          <w:sz w:val="20"/>
          <w:szCs w:val="20"/>
        </w:rPr>
      </w:pPr>
      <w:r>
        <w:rPr>
          <w:sz w:val="20"/>
          <w:szCs w:val="20"/>
        </w:rPr>
        <w:tab/>
        <w:t>Bankovní spojení:</w:t>
      </w:r>
    </w:p>
    <w:p w:rsidR="00EB27A0" w:rsidRPr="002141A5" w:rsidRDefault="00F06AA6">
      <w:pPr>
        <w:pBdr>
          <w:top w:val="nil"/>
          <w:left w:val="nil"/>
          <w:bottom w:val="nil"/>
          <w:right w:val="nil"/>
          <w:between w:val="nil"/>
        </w:pBdr>
        <w:tabs>
          <w:tab w:val="left" w:pos="1530"/>
        </w:tabs>
        <w:rPr>
          <w:sz w:val="20"/>
          <w:szCs w:val="20"/>
        </w:rPr>
      </w:pPr>
      <w:r w:rsidRPr="002141A5">
        <w:rPr>
          <w:sz w:val="20"/>
          <w:szCs w:val="20"/>
        </w:rPr>
        <w:tab/>
        <w:t xml:space="preserve">č. ú.: </w:t>
      </w:r>
    </w:p>
    <w:p w:rsidR="002141A5" w:rsidRPr="002141A5" w:rsidRDefault="00F06AA6" w:rsidP="002141A5">
      <w:pPr>
        <w:jc w:val="both"/>
        <w:rPr>
          <w:rFonts w:eastAsia="Georgia"/>
          <w:sz w:val="20"/>
          <w:szCs w:val="20"/>
          <w:highlight w:val="yellow"/>
        </w:rPr>
      </w:pPr>
      <w:r w:rsidRPr="002141A5">
        <w:rPr>
          <w:sz w:val="20"/>
          <w:szCs w:val="20"/>
        </w:rPr>
        <w:tab/>
      </w:r>
      <w:r w:rsidR="002141A5" w:rsidRPr="002141A5">
        <w:rPr>
          <w:rFonts w:eastAsia="Georgia"/>
          <w:sz w:val="20"/>
          <w:szCs w:val="20"/>
        </w:rPr>
        <w:tab/>
      </w:r>
      <w:r w:rsidR="002141A5">
        <w:rPr>
          <w:rFonts w:eastAsia="Georgia"/>
          <w:sz w:val="20"/>
          <w:szCs w:val="20"/>
        </w:rPr>
        <w:t xml:space="preserve">  </w:t>
      </w:r>
      <w:r w:rsidR="002141A5" w:rsidRPr="002141A5">
        <w:rPr>
          <w:rFonts w:eastAsia="Georgia"/>
          <w:sz w:val="20"/>
          <w:szCs w:val="20"/>
        </w:rPr>
        <w:t xml:space="preserve">Příspěvková organizace byla zřízena ke dni 1. 1. 1993 Ministerstvem školství, mládeže </w:t>
      </w:r>
      <w:r w:rsidR="002141A5" w:rsidRPr="002141A5">
        <w:rPr>
          <w:rFonts w:eastAsia="Georgia"/>
          <w:sz w:val="20"/>
          <w:szCs w:val="20"/>
        </w:rPr>
        <w:tab/>
      </w:r>
      <w:r w:rsidR="002141A5">
        <w:rPr>
          <w:rFonts w:eastAsia="Georgia"/>
          <w:sz w:val="20"/>
          <w:szCs w:val="20"/>
        </w:rPr>
        <w:tab/>
      </w:r>
      <w:r w:rsidR="002141A5">
        <w:rPr>
          <w:rFonts w:eastAsia="Georgia"/>
          <w:sz w:val="20"/>
          <w:szCs w:val="20"/>
        </w:rPr>
        <w:tab/>
        <w:t xml:space="preserve">  </w:t>
      </w:r>
      <w:r w:rsidR="002141A5" w:rsidRPr="002141A5">
        <w:rPr>
          <w:rFonts w:eastAsia="Georgia"/>
          <w:sz w:val="20"/>
          <w:szCs w:val="20"/>
        </w:rPr>
        <w:t>a tělovýchovy ČR pod č. j.: 28 247/92-26 ze dne 17. 12. 1992.</w:t>
      </w:r>
    </w:p>
    <w:p w:rsidR="00EB27A0" w:rsidRDefault="002141A5">
      <w:pPr>
        <w:pBdr>
          <w:top w:val="nil"/>
          <w:left w:val="nil"/>
          <w:bottom w:val="nil"/>
          <w:right w:val="nil"/>
          <w:between w:val="nil"/>
        </w:pBdr>
        <w:tabs>
          <w:tab w:val="left" w:pos="1530"/>
        </w:tabs>
        <w:rPr>
          <w:sz w:val="20"/>
          <w:szCs w:val="20"/>
        </w:rPr>
      </w:pPr>
      <w:r>
        <w:rPr>
          <w:sz w:val="20"/>
          <w:szCs w:val="20"/>
        </w:rPr>
        <w:tab/>
      </w:r>
      <w:r w:rsidR="00F06AA6" w:rsidRPr="002141A5">
        <w:rPr>
          <w:sz w:val="20"/>
          <w:szCs w:val="20"/>
        </w:rPr>
        <w:t>zastoupená: ředitelkou školy</w:t>
      </w:r>
    </w:p>
    <w:p w:rsidR="00EB27A0" w:rsidRDefault="00F06AA6">
      <w:pPr>
        <w:pBdr>
          <w:top w:val="nil"/>
          <w:left w:val="nil"/>
          <w:bottom w:val="nil"/>
          <w:right w:val="nil"/>
          <w:between w:val="nil"/>
        </w:pBdr>
        <w:tabs>
          <w:tab w:val="left" w:pos="1530"/>
        </w:tabs>
        <w:rPr>
          <w:sz w:val="20"/>
          <w:szCs w:val="20"/>
        </w:rPr>
      </w:pPr>
      <w:r>
        <w:rPr>
          <w:sz w:val="20"/>
          <w:szCs w:val="20"/>
        </w:rPr>
        <w:tab/>
        <w:t>(dále jen „Uživatel“)</w:t>
      </w:r>
    </w:p>
    <w:p w:rsidR="00EB27A0" w:rsidRDefault="00EB27A0">
      <w:pPr>
        <w:pBdr>
          <w:top w:val="nil"/>
          <w:left w:val="nil"/>
          <w:bottom w:val="nil"/>
          <w:right w:val="nil"/>
          <w:between w:val="nil"/>
        </w:pBdr>
        <w:tabs>
          <w:tab w:val="left" w:pos="1530"/>
        </w:tabs>
        <w:rPr>
          <w:sz w:val="20"/>
          <w:szCs w:val="20"/>
        </w:rPr>
      </w:pPr>
    </w:p>
    <w:p w:rsidR="00EB27A0" w:rsidRDefault="00F06AA6">
      <w:pPr>
        <w:pBdr>
          <w:top w:val="nil"/>
          <w:left w:val="nil"/>
          <w:bottom w:val="nil"/>
          <w:right w:val="nil"/>
          <w:between w:val="nil"/>
        </w:pBdr>
        <w:tabs>
          <w:tab w:val="left" w:pos="1530"/>
        </w:tabs>
        <w:rPr>
          <w:sz w:val="20"/>
          <w:szCs w:val="20"/>
        </w:rPr>
      </w:pPr>
      <w:r>
        <w:rPr>
          <w:sz w:val="20"/>
          <w:szCs w:val="20"/>
        </w:rPr>
        <w:tab/>
        <w:t>a</w:t>
      </w:r>
    </w:p>
    <w:p w:rsidR="00EB27A0" w:rsidRDefault="00EB27A0">
      <w:pPr>
        <w:pBdr>
          <w:top w:val="nil"/>
          <w:left w:val="nil"/>
          <w:bottom w:val="nil"/>
          <w:right w:val="nil"/>
          <w:between w:val="nil"/>
        </w:pBdr>
        <w:tabs>
          <w:tab w:val="left" w:pos="1530"/>
        </w:tabs>
        <w:rPr>
          <w:sz w:val="20"/>
          <w:szCs w:val="20"/>
        </w:rPr>
      </w:pPr>
    </w:p>
    <w:p w:rsidR="00EB27A0" w:rsidRDefault="00F06AA6">
      <w:pPr>
        <w:pBdr>
          <w:top w:val="nil"/>
          <w:left w:val="nil"/>
          <w:bottom w:val="nil"/>
          <w:right w:val="nil"/>
          <w:between w:val="nil"/>
        </w:pBdr>
        <w:tabs>
          <w:tab w:val="left" w:pos="1530"/>
        </w:tabs>
        <w:rPr>
          <w:b/>
          <w:sz w:val="20"/>
          <w:szCs w:val="20"/>
        </w:rPr>
      </w:pPr>
      <w:r>
        <w:rPr>
          <w:b/>
          <w:sz w:val="20"/>
          <w:szCs w:val="20"/>
        </w:rPr>
        <w:t>Poskytovatel:</w:t>
      </w:r>
      <w:r>
        <w:rPr>
          <w:b/>
          <w:sz w:val="20"/>
          <w:szCs w:val="20"/>
        </w:rPr>
        <w:tab/>
        <w:t>INSOFT s.r.o.</w:t>
      </w:r>
    </w:p>
    <w:p w:rsidR="00EB27A0" w:rsidRDefault="00F06AA6">
      <w:pPr>
        <w:pBdr>
          <w:top w:val="nil"/>
          <w:left w:val="nil"/>
          <w:bottom w:val="nil"/>
          <w:right w:val="nil"/>
          <w:between w:val="nil"/>
        </w:pBdr>
        <w:tabs>
          <w:tab w:val="left" w:pos="1530"/>
        </w:tabs>
        <w:rPr>
          <w:sz w:val="20"/>
          <w:szCs w:val="20"/>
        </w:rPr>
      </w:pPr>
      <w:r>
        <w:rPr>
          <w:sz w:val="20"/>
          <w:szCs w:val="20"/>
        </w:rPr>
        <w:tab/>
        <w:t>Danielova 269/17, 196 00 Praha 9</w:t>
      </w:r>
    </w:p>
    <w:p w:rsidR="00EB27A0" w:rsidRDefault="00F06AA6">
      <w:pPr>
        <w:pBdr>
          <w:top w:val="nil"/>
          <w:left w:val="nil"/>
          <w:bottom w:val="nil"/>
          <w:right w:val="nil"/>
          <w:between w:val="nil"/>
        </w:pBdr>
        <w:tabs>
          <w:tab w:val="left" w:pos="1530"/>
        </w:tabs>
        <w:rPr>
          <w:sz w:val="20"/>
          <w:szCs w:val="20"/>
        </w:rPr>
      </w:pPr>
      <w:r>
        <w:rPr>
          <w:sz w:val="20"/>
          <w:szCs w:val="20"/>
        </w:rPr>
        <w:tab/>
        <w:t>IČ: 04110889, DIČ: CZ04110889</w:t>
      </w:r>
    </w:p>
    <w:p w:rsidR="00EB27A0" w:rsidRDefault="00F06AA6">
      <w:pPr>
        <w:pBdr>
          <w:top w:val="nil"/>
          <w:left w:val="nil"/>
          <w:bottom w:val="nil"/>
          <w:right w:val="nil"/>
          <w:between w:val="nil"/>
        </w:pBdr>
        <w:tabs>
          <w:tab w:val="left" w:pos="1530"/>
        </w:tabs>
        <w:rPr>
          <w:sz w:val="20"/>
          <w:szCs w:val="20"/>
        </w:rPr>
      </w:pPr>
      <w:r>
        <w:rPr>
          <w:sz w:val="20"/>
          <w:szCs w:val="20"/>
        </w:rPr>
        <w:tab/>
        <w:t xml:space="preserve">Bankovní spojení: </w:t>
      </w:r>
    </w:p>
    <w:p w:rsidR="00EB27A0" w:rsidRDefault="00F06AA6">
      <w:pPr>
        <w:pBdr>
          <w:top w:val="nil"/>
          <w:left w:val="nil"/>
          <w:bottom w:val="nil"/>
          <w:right w:val="nil"/>
          <w:between w:val="nil"/>
        </w:pBdr>
        <w:tabs>
          <w:tab w:val="left" w:pos="1530"/>
        </w:tabs>
        <w:rPr>
          <w:sz w:val="20"/>
          <w:szCs w:val="20"/>
        </w:rPr>
      </w:pPr>
      <w:r>
        <w:rPr>
          <w:sz w:val="20"/>
          <w:szCs w:val="20"/>
        </w:rPr>
        <w:tab/>
        <w:t xml:space="preserve">č. ú.: </w:t>
      </w:r>
    </w:p>
    <w:p w:rsidR="00EB27A0" w:rsidRDefault="00F06AA6">
      <w:pPr>
        <w:pBdr>
          <w:top w:val="nil"/>
          <w:left w:val="nil"/>
          <w:bottom w:val="nil"/>
          <w:right w:val="nil"/>
          <w:between w:val="nil"/>
        </w:pBdr>
        <w:tabs>
          <w:tab w:val="left" w:pos="1530"/>
        </w:tabs>
        <w:rPr>
          <w:sz w:val="20"/>
          <w:szCs w:val="20"/>
        </w:rPr>
      </w:pPr>
      <w:r>
        <w:rPr>
          <w:sz w:val="20"/>
          <w:szCs w:val="20"/>
        </w:rPr>
        <w:tab/>
        <w:t>Spisová značka: C 242564 vedená u Městského soudu v Praze</w:t>
      </w:r>
    </w:p>
    <w:p w:rsidR="00EB27A0" w:rsidRDefault="00F06AA6">
      <w:pPr>
        <w:pBdr>
          <w:top w:val="nil"/>
          <w:left w:val="nil"/>
          <w:bottom w:val="nil"/>
          <w:right w:val="nil"/>
          <w:between w:val="nil"/>
        </w:pBdr>
        <w:tabs>
          <w:tab w:val="left" w:pos="1530"/>
        </w:tabs>
        <w:rPr>
          <w:sz w:val="20"/>
          <w:szCs w:val="20"/>
        </w:rPr>
      </w:pPr>
      <w:r>
        <w:rPr>
          <w:sz w:val="20"/>
          <w:szCs w:val="20"/>
        </w:rPr>
        <w:tab/>
        <w:t>zastoupená: jednatelem společnosti</w:t>
      </w:r>
    </w:p>
    <w:p w:rsidR="00EB27A0" w:rsidRDefault="00F06AA6">
      <w:pPr>
        <w:pBdr>
          <w:top w:val="nil"/>
          <w:left w:val="nil"/>
          <w:bottom w:val="nil"/>
          <w:right w:val="nil"/>
          <w:between w:val="nil"/>
        </w:pBdr>
        <w:tabs>
          <w:tab w:val="left" w:pos="1530"/>
        </w:tabs>
        <w:rPr>
          <w:sz w:val="20"/>
          <w:szCs w:val="20"/>
        </w:rPr>
      </w:pPr>
      <w:r>
        <w:rPr>
          <w:sz w:val="20"/>
          <w:szCs w:val="20"/>
        </w:rPr>
        <w:tab/>
        <w:t>(dále jen „Poskytovatel“)</w:t>
      </w:r>
    </w:p>
    <w:p w:rsidR="00EB27A0" w:rsidRDefault="00EB27A0">
      <w:pPr>
        <w:pBdr>
          <w:top w:val="nil"/>
          <w:left w:val="nil"/>
          <w:bottom w:val="nil"/>
          <w:right w:val="nil"/>
          <w:between w:val="nil"/>
        </w:pBdr>
        <w:rPr>
          <w:sz w:val="20"/>
          <w:szCs w:val="20"/>
        </w:rPr>
      </w:pPr>
    </w:p>
    <w:p w:rsidR="00EB27A0" w:rsidRDefault="000C003A" w:rsidP="002141A5">
      <w:pPr>
        <w:pBdr>
          <w:top w:val="nil"/>
          <w:left w:val="nil"/>
          <w:bottom w:val="nil"/>
          <w:right w:val="nil"/>
          <w:between w:val="nil"/>
        </w:pBdr>
        <w:jc w:val="both"/>
        <w:rPr>
          <w:b/>
          <w:sz w:val="20"/>
          <w:szCs w:val="20"/>
        </w:rPr>
      </w:pPr>
      <w:r>
        <w:rPr>
          <w:b/>
          <w:sz w:val="20"/>
          <w:szCs w:val="20"/>
        </w:rPr>
        <w:t xml:space="preserve">v </w:t>
      </w:r>
      <w:r w:rsidR="00F06AA6">
        <w:rPr>
          <w:b/>
          <w:sz w:val="20"/>
          <w:szCs w:val="20"/>
        </w:rPr>
        <w:t>souladu s ustanovením § 2586 a násl. zákona č. 89/2012 Sb., občanský zákoník, v platném a účinném znění, uzavírají tuto Smlouvu o poskytování služeb podpory a správy IT (dále jen „Smlouva“).</w:t>
      </w:r>
    </w:p>
    <w:p w:rsidR="00EB27A0" w:rsidRDefault="00F06AA6">
      <w:pPr>
        <w:pStyle w:val="Nadpis1"/>
        <w:pBdr>
          <w:top w:val="nil"/>
          <w:left w:val="nil"/>
          <w:bottom w:val="nil"/>
          <w:right w:val="nil"/>
          <w:between w:val="nil"/>
        </w:pBdr>
        <w:jc w:val="center"/>
      </w:pPr>
      <w:bookmarkStart w:id="1" w:name="_nmbljdkeuogz" w:colFirst="0" w:colLast="0"/>
      <w:bookmarkEnd w:id="1"/>
      <w:r>
        <w:t>I. Preambule</w:t>
      </w:r>
    </w:p>
    <w:p w:rsidR="00EB27A0" w:rsidRDefault="00F06AA6" w:rsidP="002141A5">
      <w:pPr>
        <w:pBdr>
          <w:top w:val="nil"/>
          <w:left w:val="nil"/>
          <w:bottom w:val="nil"/>
          <w:right w:val="nil"/>
          <w:between w:val="nil"/>
        </w:pBdr>
        <w:jc w:val="both"/>
        <w:rPr>
          <w:sz w:val="20"/>
          <w:szCs w:val="20"/>
        </w:rPr>
      </w:pPr>
      <w:r>
        <w:rPr>
          <w:sz w:val="20"/>
          <w:szCs w:val="20"/>
        </w:rPr>
        <w:t>Pro účely této Smlouvy se rozumí:</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předmětem plnění je poskytování servisních činností souvisejících s instalací, nastavením, provozem a údržbou Informačních Technologií (dále jen „</w:t>
      </w:r>
      <w:r>
        <w:rPr>
          <w:b/>
          <w:sz w:val="20"/>
          <w:szCs w:val="20"/>
        </w:rPr>
        <w:t>IT</w:t>
      </w:r>
      <w:r>
        <w:rPr>
          <w:sz w:val="20"/>
          <w:szCs w:val="20"/>
        </w:rPr>
        <w:t>“) a poskytování uživatelské podpory pověřeným osobám Uživatele uvedených v příloze č. 1 této smlouvy (dále jen „</w:t>
      </w:r>
      <w:r>
        <w:rPr>
          <w:b/>
          <w:sz w:val="20"/>
          <w:szCs w:val="20"/>
        </w:rPr>
        <w:t>Podpora a správa IT</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služba je poskytována v místech uvedených v příloze č. 2 této smlouvy (dále jen „</w:t>
      </w:r>
      <w:r>
        <w:rPr>
          <w:b/>
          <w:sz w:val="20"/>
          <w:szCs w:val="20"/>
        </w:rPr>
        <w:t>Místo správy</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služba je poskytována pro servery, aktivní prvky a další zařízení uvedené v příloze č. 3. (dále jen „</w:t>
      </w:r>
      <w:r>
        <w:rPr>
          <w:b/>
          <w:sz w:val="20"/>
          <w:szCs w:val="20"/>
        </w:rPr>
        <w:t>Systémy</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služba je poskytována:</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přímo v Místě správy (dále jen „</w:t>
      </w:r>
      <w:r>
        <w:rPr>
          <w:b/>
          <w:sz w:val="20"/>
          <w:szCs w:val="20"/>
        </w:rPr>
        <w:t>Lokální přístup</w:t>
      </w:r>
      <w:r>
        <w:rPr>
          <w:sz w:val="20"/>
          <w:szCs w:val="20"/>
        </w:rPr>
        <w:t>“), nebo</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vzdáleně prostřednictvím sítě internet (dále jen „</w:t>
      </w:r>
      <w:r>
        <w:rPr>
          <w:b/>
          <w:sz w:val="20"/>
          <w:szCs w:val="20"/>
        </w:rPr>
        <w:t>Vzdálený přístup</w:t>
      </w:r>
      <w:r>
        <w:rPr>
          <w:sz w:val="20"/>
          <w:szCs w:val="20"/>
        </w:rPr>
        <w:t>“)</w:t>
      </w:r>
    </w:p>
    <w:p w:rsidR="00EB27A0" w:rsidRDefault="00F06AA6" w:rsidP="002141A5">
      <w:pPr>
        <w:pBdr>
          <w:top w:val="nil"/>
          <w:left w:val="nil"/>
          <w:bottom w:val="nil"/>
          <w:right w:val="nil"/>
          <w:between w:val="nil"/>
        </w:pBdr>
        <w:ind w:firstLine="720"/>
        <w:jc w:val="both"/>
        <w:rPr>
          <w:sz w:val="20"/>
          <w:szCs w:val="20"/>
        </w:rPr>
      </w:pPr>
      <w:r>
        <w:rPr>
          <w:sz w:val="20"/>
          <w:szCs w:val="20"/>
        </w:rPr>
        <w:t>(vše uvedené pod písmeny a) a b) tohoto odstavce dále jen „</w:t>
      </w:r>
      <w:r>
        <w:rPr>
          <w:b/>
          <w:sz w:val="20"/>
          <w:szCs w:val="20"/>
        </w:rPr>
        <w:t>Přístup</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druhem závady, která:</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znemožňuje užít IT (dále jen „</w:t>
      </w:r>
      <w:r>
        <w:rPr>
          <w:b/>
          <w:sz w:val="20"/>
          <w:szCs w:val="20"/>
        </w:rPr>
        <w:t>Znemožňující užití</w:t>
      </w:r>
      <w:r>
        <w:rPr>
          <w:sz w:val="20"/>
          <w:szCs w:val="20"/>
        </w:rPr>
        <w:t>“), nebo</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omezuje kvalitu nebo rozsah užití IT (dále jen „</w:t>
      </w:r>
      <w:r>
        <w:rPr>
          <w:b/>
          <w:sz w:val="20"/>
          <w:szCs w:val="20"/>
        </w:rPr>
        <w:t>Omezující užití</w:t>
      </w:r>
      <w:r>
        <w:rPr>
          <w:sz w:val="20"/>
          <w:szCs w:val="20"/>
        </w:rPr>
        <w:t>“), nebo</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neomezuje užití IT a ostatní servisní požadavky (dále jen „</w:t>
      </w:r>
      <w:r>
        <w:rPr>
          <w:b/>
          <w:sz w:val="20"/>
          <w:szCs w:val="20"/>
        </w:rPr>
        <w:t>Ostatní</w:t>
      </w:r>
      <w:r>
        <w:rPr>
          <w:sz w:val="20"/>
          <w:szCs w:val="20"/>
        </w:rPr>
        <w:t>“)</w:t>
      </w:r>
    </w:p>
    <w:p w:rsidR="00EB27A0" w:rsidRDefault="00F06AA6" w:rsidP="002141A5">
      <w:pPr>
        <w:pBdr>
          <w:top w:val="nil"/>
          <w:left w:val="nil"/>
          <w:bottom w:val="nil"/>
          <w:right w:val="nil"/>
          <w:between w:val="nil"/>
        </w:pBdr>
        <w:jc w:val="both"/>
        <w:rPr>
          <w:sz w:val="20"/>
          <w:szCs w:val="20"/>
        </w:rPr>
      </w:pPr>
      <w:r>
        <w:rPr>
          <w:sz w:val="20"/>
          <w:szCs w:val="20"/>
        </w:rPr>
        <w:tab/>
        <w:t>(vše uvedené pod písmeny a) až c) tohoto odstavce dále jen „</w:t>
      </w:r>
      <w:r>
        <w:rPr>
          <w:b/>
          <w:sz w:val="20"/>
          <w:szCs w:val="20"/>
        </w:rPr>
        <w:t>Dopad</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časem kdy je služba poskytována:</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v pracovní dny od 8:00 do 18:00 (dále jen „</w:t>
      </w:r>
      <w:r>
        <w:rPr>
          <w:b/>
          <w:sz w:val="20"/>
          <w:szCs w:val="20"/>
        </w:rPr>
        <w:t>10x5</w:t>
      </w:r>
      <w:r>
        <w:rPr>
          <w:sz w:val="20"/>
          <w:szCs w:val="20"/>
        </w:rPr>
        <w:t>“), nebo</w:t>
      </w:r>
    </w:p>
    <w:p w:rsidR="00EB27A0" w:rsidRDefault="00F06AA6" w:rsidP="002141A5">
      <w:pPr>
        <w:numPr>
          <w:ilvl w:val="1"/>
          <w:numId w:val="4"/>
        </w:numPr>
        <w:pBdr>
          <w:top w:val="nil"/>
          <w:left w:val="nil"/>
          <w:bottom w:val="nil"/>
          <w:right w:val="nil"/>
          <w:between w:val="nil"/>
        </w:pBdr>
        <w:contextualSpacing/>
        <w:jc w:val="both"/>
        <w:rPr>
          <w:sz w:val="20"/>
          <w:szCs w:val="20"/>
        </w:rPr>
      </w:pPr>
      <w:r>
        <w:rPr>
          <w:sz w:val="20"/>
          <w:szCs w:val="20"/>
        </w:rPr>
        <w:t>nepřetržitě (dále jen „</w:t>
      </w:r>
      <w:r>
        <w:rPr>
          <w:b/>
          <w:sz w:val="20"/>
          <w:szCs w:val="20"/>
        </w:rPr>
        <w:t>24x7</w:t>
      </w:r>
      <w:r>
        <w:rPr>
          <w:sz w:val="20"/>
          <w:szCs w:val="20"/>
        </w:rPr>
        <w:t>“)</w:t>
      </w:r>
    </w:p>
    <w:p w:rsidR="00EB27A0" w:rsidRDefault="00F06AA6" w:rsidP="002141A5">
      <w:pPr>
        <w:pBdr>
          <w:top w:val="nil"/>
          <w:left w:val="nil"/>
          <w:bottom w:val="nil"/>
          <w:right w:val="nil"/>
          <w:between w:val="nil"/>
        </w:pBdr>
        <w:jc w:val="both"/>
        <w:rPr>
          <w:sz w:val="20"/>
          <w:szCs w:val="20"/>
        </w:rPr>
      </w:pPr>
      <w:r>
        <w:rPr>
          <w:sz w:val="20"/>
          <w:szCs w:val="20"/>
        </w:rPr>
        <w:tab/>
        <w:t>(vše uvedené pod písmeny a) a b) tohoto odstavce dále jen „</w:t>
      </w:r>
      <w:r>
        <w:rPr>
          <w:b/>
          <w:sz w:val="20"/>
          <w:szCs w:val="20"/>
        </w:rPr>
        <w:t>Režim</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nejdelší reakční doba do které začne Poskytovatel nahlášenou závadu řešit (dále jen „</w:t>
      </w:r>
      <w:r>
        <w:rPr>
          <w:b/>
          <w:sz w:val="20"/>
          <w:szCs w:val="20"/>
        </w:rPr>
        <w:t>Čas odezvy</w:t>
      </w:r>
      <w:r>
        <w:rPr>
          <w:sz w:val="20"/>
          <w:szCs w:val="20"/>
        </w:rPr>
        <w:t>“),</w:t>
      </w:r>
    </w:p>
    <w:p w:rsidR="00EB27A0" w:rsidRDefault="00F06AA6" w:rsidP="002141A5">
      <w:pPr>
        <w:numPr>
          <w:ilvl w:val="0"/>
          <w:numId w:val="4"/>
        </w:numPr>
        <w:pBdr>
          <w:top w:val="nil"/>
          <w:left w:val="nil"/>
          <w:bottom w:val="nil"/>
          <w:right w:val="nil"/>
          <w:between w:val="nil"/>
        </w:pBdr>
        <w:contextualSpacing/>
        <w:jc w:val="both"/>
        <w:rPr>
          <w:sz w:val="20"/>
          <w:szCs w:val="20"/>
        </w:rPr>
      </w:pPr>
      <w:r>
        <w:rPr>
          <w:sz w:val="20"/>
          <w:szCs w:val="20"/>
        </w:rPr>
        <w:t>nejdelší doba do které je nahlášená závada vyřešena dočasným nebo úplným řešením (dále jen „</w:t>
      </w:r>
      <w:r>
        <w:rPr>
          <w:b/>
          <w:sz w:val="20"/>
          <w:szCs w:val="20"/>
        </w:rPr>
        <w:t>Čas vyřešení</w:t>
      </w:r>
      <w:r>
        <w:rPr>
          <w:sz w:val="20"/>
          <w:szCs w:val="20"/>
        </w:rPr>
        <w:t>“).</w:t>
      </w:r>
    </w:p>
    <w:p w:rsidR="00EB27A0" w:rsidRDefault="00F06AA6" w:rsidP="003F2E2F">
      <w:pPr>
        <w:pStyle w:val="Nadpis1"/>
        <w:pBdr>
          <w:top w:val="nil"/>
          <w:left w:val="nil"/>
          <w:bottom w:val="nil"/>
          <w:right w:val="nil"/>
          <w:between w:val="nil"/>
        </w:pBdr>
        <w:jc w:val="center"/>
      </w:pPr>
      <w:bookmarkStart w:id="2" w:name="_ok5d6jellzip" w:colFirst="0" w:colLast="0"/>
      <w:bookmarkEnd w:id="2"/>
      <w:r>
        <w:lastRenderedPageBreak/>
        <w:t>II. Předmět smlouvy</w:t>
      </w:r>
    </w:p>
    <w:p w:rsidR="00EB27A0" w:rsidRDefault="00F06AA6" w:rsidP="002141A5">
      <w:pPr>
        <w:pBdr>
          <w:top w:val="nil"/>
          <w:left w:val="nil"/>
          <w:bottom w:val="nil"/>
          <w:right w:val="nil"/>
          <w:between w:val="nil"/>
        </w:pBdr>
        <w:jc w:val="both"/>
        <w:rPr>
          <w:sz w:val="20"/>
          <w:szCs w:val="20"/>
        </w:rPr>
      </w:pPr>
      <w:r>
        <w:rPr>
          <w:sz w:val="20"/>
          <w:szCs w:val="20"/>
        </w:rPr>
        <w:t>Předmětem této Smlouvy je:</w:t>
      </w:r>
    </w:p>
    <w:p w:rsidR="00EB27A0" w:rsidRDefault="00F06AA6" w:rsidP="002141A5">
      <w:pPr>
        <w:numPr>
          <w:ilvl w:val="0"/>
          <w:numId w:val="9"/>
        </w:numPr>
        <w:pBdr>
          <w:top w:val="nil"/>
          <w:left w:val="nil"/>
          <w:bottom w:val="nil"/>
          <w:right w:val="nil"/>
          <w:between w:val="nil"/>
        </w:pBdr>
        <w:contextualSpacing/>
        <w:jc w:val="both"/>
        <w:rPr>
          <w:sz w:val="20"/>
          <w:szCs w:val="20"/>
        </w:rPr>
      </w:pPr>
      <w:r>
        <w:rPr>
          <w:sz w:val="20"/>
          <w:szCs w:val="20"/>
        </w:rPr>
        <w:t xml:space="preserve">závazek Poskytovatele poskytovat za níže uvedených podmínek Uživateli Podporu a </w:t>
      </w:r>
      <w:r w:rsidR="006B24C5">
        <w:rPr>
          <w:sz w:val="20"/>
          <w:szCs w:val="20"/>
        </w:rPr>
        <w:t>správu IT</w:t>
      </w:r>
    </w:p>
    <w:p w:rsidR="00EB27A0" w:rsidRDefault="00F06AA6" w:rsidP="002141A5">
      <w:pPr>
        <w:numPr>
          <w:ilvl w:val="0"/>
          <w:numId w:val="9"/>
        </w:numPr>
        <w:pBdr>
          <w:top w:val="nil"/>
          <w:left w:val="nil"/>
          <w:bottom w:val="nil"/>
          <w:right w:val="nil"/>
          <w:between w:val="nil"/>
        </w:pBdr>
        <w:contextualSpacing/>
        <w:jc w:val="both"/>
        <w:rPr>
          <w:sz w:val="20"/>
          <w:szCs w:val="20"/>
        </w:rPr>
      </w:pPr>
      <w:r>
        <w:rPr>
          <w:sz w:val="20"/>
          <w:szCs w:val="20"/>
        </w:rPr>
        <w:t>závazek Uživatele zaplatit Poskytovateli za Podporu a správu IT úpl</w:t>
      </w:r>
      <w:r w:rsidR="006B24C5">
        <w:rPr>
          <w:sz w:val="20"/>
          <w:szCs w:val="20"/>
        </w:rPr>
        <w:t>atu ve lhůtách dle této Smlouvy</w:t>
      </w:r>
    </w:p>
    <w:p w:rsidR="00EB27A0" w:rsidRDefault="00F06AA6" w:rsidP="003F2E2F">
      <w:pPr>
        <w:pStyle w:val="Nadpis1"/>
        <w:pBdr>
          <w:top w:val="nil"/>
          <w:left w:val="nil"/>
          <w:bottom w:val="nil"/>
          <w:right w:val="nil"/>
          <w:between w:val="nil"/>
        </w:pBdr>
        <w:jc w:val="center"/>
      </w:pPr>
      <w:bookmarkStart w:id="3" w:name="_klykly48q1ti" w:colFirst="0" w:colLast="0"/>
      <w:bookmarkEnd w:id="3"/>
      <w:r>
        <w:t>III. Podmínky poskytování služeb</w:t>
      </w:r>
    </w:p>
    <w:p w:rsidR="00EB27A0" w:rsidRDefault="00F06AA6" w:rsidP="002141A5">
      <w:pPr>
        <w:numPr>
          <w:ilvl w:val="0"/>
          <w:numId w:val="8"/>
        </w:numPr>
        <w:pBdr>
          <w:top w:val="nil"/>
          <w:left w:val="nil"/>
          <w:bottom w:val="nil"/>
          <w:right w:val="nil"/>
          <w:between w:val="nil"/>
        </w:pBdr>
        <w:contextualSpacing/>
        <w:jc w:val="both"/>
        <w:rPr>
          <w:sz w:val="20"/>
          <w:szCs w:val="20"/>
        </w:rPr>
      </w:pPr>
      <w:r>
        <w:rPr>
          <w:sz w:val="20"/>
          <w:szCs w:val="20"/>
        </w:rPr>
        <w:t>Uživatel se zavazuje umožnit Přístup pracovníkům nebo smluvním partnerům Poskytovatele, uvedených v příloze č. 1 této smlouvy, na Místo správy tak, aby mohli provádět Podporu a správu IT.</w:t>
      </w:r>
    </w:p>
    <w:p w:rsidR="00EB27A0" w:rsidRDefault="00F06AA6" w:rsidP="002141A5">
      <w:pPr>
        <w:numPr>
          <w:ilvl w:val="0"/>
          <w:numId w:val="8"/>
        </w:numPr>
        <w:pBdr>
          <w:top w:val="nil"/>
          <w:left w:val="nil"/>
          <w:bottom w:val="nil"/>
          <w:right w:val="nil"/>
          <w:between w:val="nil"/>
        </w:pBdr>
        <w:contextualSpacing/>
        <w:jc w:val="both"/>
        <w:rPr>
          <w:sz w:val="20"/>
          <w:szCs w:val="20"/>
        </w:rPr>
      </w:pPr>
      <w:r>
        <w:rPr>
          <w:sz w:val="20"/>
          <w:szCs w:val="20"/>
        </w:rPr>
        <w:t>Smluvní strany se dohodly, že Podpora a správa IT bude poskytována v následující kvalitě:</w:t>
      </w:r>
    </w:p>
    <w:p w:rsidR="00EB27A0" w:rsidRDefault="00F06AA6" w:rsidP="002141A5">
      <w:pPr>
        <w:numPr>
          <w:ilvl w:val="1"/>
          <w:numId w:val="8"/>
        </w:numPr>
        <w:pBdr>
          <w:top w:val="nil"/>
          <w:left w:val="nil"/>
          <w:bottom w:val="nil"/>
          <w:right w:val="nil"/>
          <w:between w:val="nil"/>
        </w:pBdr>
        <w:jc w:val="both"/>
        <w:rPr>
          <w:sz w:val="20"/>
          <w:szCs w:val="20"/>
        </w:rPr>
      </w:pPr>
      <w:r>
        <w:rPr>
          <w:sz w:val="20"/>
          <w:szCs w:val="20"/>
        </w:rPr>
        <w:t>Pro Systémy v Režimu 10x5:</w:t>
      </w:r>
    </w:p>
    <w:tbl>
      <w:tblPr>
        <w:tblStyle w:val="a"/>
        <w:tblW w:w="7575"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055"/>
        <w:gridCol w:w="3450"/>
      </w:tblGrid>
      <w:tr w:rsidR="00EB27A0">
        <w:trPr>
          <w:trHeight w:val="400"/>
        </w:trPr>
        <w:tc>
          <w:tcPr>
            <w:tcW w:w="2070" w:type="dxa"/>
            <w:tcBorders>
              <w:top w:val="nil"/>
              <w:left w:val="nil"/>
              <w:bottom w:val="single" w:sz="12" w:space="0" w:color="000000"/>
              <w:right w:val="nil"/>
            </w:tcBorders>
            <w:vAlign w:val="center"/>
          </w:tcPr>
          <w:p w:rsidR="00EB27A0" w:rsidRDefault="00F06AA6">
            <w:pPr>
              <w:widowControl w:val="0"/>
              <w:pBdr>
                <w:top w:val="nil"/>
                <w:left w:val="nil"/>
                <w:bottom w:val="nil"/>
                <w:right w:val="nil"/>
                <w:between w:val="nil"/>
              </w:pBdr>
              <w:spacing w:line="240" w:lineRule="auto"/>
              <w:jc w:val="center"/>
              <w:rPr>
                <w:b/>
                <w:sz w:val="20"/>
                <w:szCs w:val="20"/>
              </w:rPr>
            </w:pPr>
            <w:r>
              <w:rPr>
                <w:b/>
                <w:sz w:val="20"/>
                <w:szCs w:val="20"/>
              </w:rPr>
              <w:t>Dopad</w:t>
            </w:r>
          </w:p>
        </w:tc>
        <w:tc>
          <w:tcPr>
            <w:tcW w:w="2055" w:type="dxa"/>
            <w:tcBorders>
              <w:top w:val="nil"/>
              <w:left w:val="nil"/>
              <w:bottom w:val="single" w:sz="12" w:space="0" w:color="000000"/>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Čas odezvy</w:t>
            </w:r>
          </w:p>
        </w:tc>
        <w:tc>
          <w:tcPr>
            <w:tcW w:w="3450" w:type="dxa"/>
            <w:tcBorders>
              <w:top w:val="nil"/>
              <w:left w:val="nil"/>
              <w:bottom w:val="single" w:sz="12" w:space="0" w:color="000000"/>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Čas vyřešení</w:t>
            </w:r>
          </w:p>
        </w:tc>
      </w:tr>
      <w:tr w:rsidR="00EB27A0">
        <w:tc>
          <w:tcPr>
            <w:tcW w:w="2070"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Znemožňující užití</w:t>
            </w:r>
          </w:p>
        </w:tc>
        <w:tc>
          <w:tcPr>
            <w:tcW w:w="2055"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4 hodin</w:t>
            </w:r>
          </w:p>
        </w:tc>
        <w:tc>
          <w:tcPr>
            <w:tcW w:w="3450"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konce pracovní doby násled. dne</w:t>
            </w:r>
          </w:p>
        </w:tc>
      </w:tr>
      <w:tr w:rsidR="00EB27A0">
        <w:tc>
          <w:tcPr>
            <w:tcW w:w="207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Omezující užití</w:t>
            </w:r>
          </w:p>
        </w:tc>
        <w:tc>
          <w:tcPr>
            <w:tcW w:w="2055"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1 pracovního dne</w:t>
            </w:r>
          </w:p>
        </w:tc>
        <w:tc>
          <w:tcPr>
            <w:tcW w:w="345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2 pracovních dnů</w:t>
            </w:r>
          </w:p>
        </w:tc>
      </w:tr>
      <w:tr w:rsidR="00EB27A0">
        <w:tc>
          <w:tcPr>
            <w:tcW w:w="207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Ostatní</w:t>
            </w:r>
          </w:p>
        </w:tc>
        <w:tc>
          <w:tcPr>
            <w:tcW w:w="2055"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2 pracovních dnů</w:t>
            </w:r>
          </w:p>
        </w:tc>
        <w:tc>
          <w:tcPr>
            <w:tcW w:w="345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5 pracovních dnů</w:t>
            </w:r>
          </w:p>
        </w:tc>
      </w:tr>
    </w:tbl>
    <w:p w:rsidR="00EB27A0" w:rsidRDefault="00EB27A0">
      <w:pPr>
        <w:pBdr>
          <w:top w:val="nil"/>
          <w:left w:val="nil"/>
          <w:bottom w:val="nil"/>
          <w:right w:val="nil"/>
          <w:between w:val="nil"/>
        </w:pBdr>
        <w:rPr>
          <w:sz w:val="20"/>
          <w:szCs w:val="20"/>
        </w:rPr>
      </w:pPr>
    </w:p>
    <w:p w:rsidR="00EB27A0" w:rsidRDefault="00F06AA6">
      <w:pPr>
        <w:numPr>
          <w:ilvl w:val="1"/>
          <w:numId w:val="8"/>
        </w:numPr>
        <w:pBdr>
          <w:top w:val="nil"/>
          <w:left w:val="nil"/>
          <w:bottom w:val="nil"/>
          <w:right w:val="nil"/>
          <w:between w:val="nil"/>
        </w:pBdr>
        <w:rPr>
          <w:sz w:val="20"/>
          <w:szCs w:val="20"/>
        </w:rPr>
      </w:pPr>
      <w:r>
        <w:rPr>
          <w:sz w:val="20"/>
          <w:szCs w:val="20"/>
        </w:rPr>
        <w:t>Pro Systémy v Režimu 24x7 8H:</w:t>
      </w:r>
    </w:p>
    <w:tbl>
      <w:tblPr>
        <w:tblStyle w:val="a0"/>
        <w:tblW w:w="7575"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055"/>
        <w:gridCol w:w="3450"/>
      </w:tblGrid>
      <w:tr w:rsidR="00EB27A0">
        <w:trPr>
          <w:trHeight w:val="400"/>
        </w:trPr>
        <w:tc>
          <w:tcPr>
            <w:tcW w:w="2070" w:type="dxa"/>
            <w:tcBorders>
              <w:top w:val="nil"/>
              <w:left w:val="nil"/>
              <w:bottom w:val="single" w:sz="12" w:space="0" w:color="000000"/>
              <w:right w:val="nil"/>
            </w:tcBorders>
            <w:vAlign w:val="center"/>
          </w:tcPr>
          <w:p w:rsidR="00EB27A0" w:rsidRDefault="00F06AA6">
            <w:pPr>
              <w:widowControl w:val="0"/>
              <w:pBdr>
                <w:top w:val="nil"/>
                <w:left w:val="nil"/>
                <w:bottom w:val="nil"/>
                <w:right w:val="nil"/>
                <w:between w:val="nil"/>
              </w:pBdr>
              <w:spacing w:line="240" w:lineRule="auto"/>
              <w:jc w:val="center"/>
              <w:rPr>
                <w:b/>
                <w:sz w:val="20"/>
                <w:szCs w:val="20"/>
              </w:rPr>
            </w:pPr>
            <w:r>
              <w:rPr>
                <w:b/>
                <w:sz w:val="20"/>
                <w:szCs w:val="20"/>
              </w:rPr>
              <w:t>Dopad</w:t>
            </w:r>
          </w:p>
        </w:tc>
        <w:tc>
          <w:tcPr>
            <w:tcW w:w="2055" w:type="dxa"/>
            <w:tcBorders>
              <w:top w:val="nil"/>
              <w:left w:val="nil"/>
              <w:bottom w:val="single" w:sz="12" w:space="0" w:color="000000"/>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Čas odezvy</w:t>
            </w:r>
          </w:p>
        </w:tc>
        <w:tc>
          <w:tcPr>
            <w:tcW w:w="3450" w:type="dxa"/>
            <w:tcBorders>
              <w:top w:val="nil"/>
              <w:left w:val="nil"/>
              <w:bottom w:val="single" w:sz="12" w:space="0" w:color="000000"/>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Čas vyřešení</w:t>
            </w:r>
          </w:p>
        </w:tc>
      </w:tr>
      <w:tr w:rsidR="00EB27A0">
        <w:tc>
          <w:tcPr>
            <w:tcW w:w="2070"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Znemožňující užití</w:t>
            </w:r>
          </w:p>
        </w:tc>
        <w:tc>
          <w:tcPr>
            <w:tcW w:w="2055"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4 hodin</w:t>
            </w:r>
          </w:p>
        </w:tc>
        <w:tc>
          <w:tcPr>
            <w:tcW w:w="3450"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8 hodin</w:t>
            </w:r>
          </w:p>
        </w:tc>
      </w:tr>
      <w:tr w:rsidR="00EB27A0">
        <w:tc>
          <w:tcPr>
            <w:tcW w:w="207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Omezující užití</w:t>
            </w:r>
          </w:p>
        </w:tc>
        <w:tc>
          <w:tcPr>
            <w:tcW w:w="2055"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8 hodin</w:t>
            </w:r>
          </w:p>
        </w:tc>
        <w:tc>
          <w:tcPr>
            <w:tcW w:w="345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16 hodin</w:t>
            </w:r>
          </w:p>
        </w:tc>
      </w:tr>
      <w:tr w:rsidR="00EB27A0">
        <w:tc>
          <w:tcPr>
            <w:tcW w:w="207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Ostatní</w:t>
            </w:r>
          </w:p>
        </w:tc>
        <w:tc>
          <w:tcPr>
            <w:tcW w:w="2055"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24 hodin</w:t>
            </w:r>
          </w:p>
        </w:tc>
        <w:tc>
          <w:tcPr>
            <w:tcW w:w="345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48 hodin</w:t>
            </w:r>
          </w:p>
        </w:tc>
      </w:tr>
    </w:tbl>
    <w:p w:rsidR="00EB27A0" w:rsidRDefault="00EB27A0">
      <w:pPr>
        <w:pBdr>
          <w:top w:val="nil"/>
          <w:left w:val="nil"/>
          <w:bottom w:val="nil"/>
          <w:right w:val="nil"/>
          <w:between w:val="nil"/>
        </w:pBdr>
        <w:ind w:left="720"/>
        <w:rPr>
          <w:sz w:val="20"/>
          <w:szCs w:val="20"/>
        </w:rPr>
      </w:pPr>
    </w:p>
    <w:p w:rsidR="00EB27A0" w:rsidRDefault="00F06AA6">
      <w:pPr>
        <w:numPr>
          <w:ilvl w:val="1"/>
          <w:numId w:val="8"/>
        </w:numPr>
        <w:pBdr>
          <w:top w:val="nil"/>
          <w:left w:val="nil"/>
          <w:bottom w:val="nil"/>
          <w:right w:val="nil"/>
          <w:between w:val="nil"/>
        </w:pBdr>
        <w:rPr>
          <w:sz w:val="20"/>
          <w:szCs w:val="20"/>
        </w:rPr>
      </w:pPr>
      <w:r>
        <w:rPr>
          <w:sz w:val="20"/>
          <w:szCs w:val="20"/>
        </w:rPr>
        <w:t>Pro Systémy v Režimu 24x7 4H:</w:t>
      </w:r>
    </w:p>
    <w:tbl>
      <w:tblPr>
        <w:tblStyle w:val="a1"/>
        <w:tblW w:w="7575"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055"/>
        <w:gridCol w:w="3450"/>
      </w:tblGrid>
      <w:tr w:rsidR="00EB27A0">
        <w:trPr>
          <w:trHeight w:val="400"/>
        </w:trPr>
        <w:tc>
          <w:tcPr>
            <w:tcW w:w="2070" w:type="dxa"/>
            <w:tcBorders>
              <w:top w:val="nil"/>
              <w:left w:val="nil"/>
              <w:bottom w:val="single" w:sz="12" w:space="0" w:color="000000"/>
              <w:right w:val="nil"/>
            </w:tcBorders>
            <w:vAlign w:val="center"/>
          </w:tcPr>
          <w:p w:rsidR="00EB27A0" w:rsidRDefault="00F06AA6">
            <w:pPr>
              <w:widowControl w:val="0"/>
              <w:pBdr>
                <w:top w:val="nil"/>
                <w:left w:val="nil"/>
                <w:bottom w:val="nil"/>
                <w:right w:val="nil"/>
                <w:between w:val="nil"/>
              </w:pBdr>
              <w:spacing w:line="240" w:lineRule="auto"/>
              <w:jc w:val="center"/>
              <w:rPr>
                <w:b/>
                <w:sz w:val="20"/>
                <w:szCs w:val="20"/>
              </w:rPr>
            </w:pPr>
            <w:r>
              <w:rPr>
                <w:b/>
                <w:sz w:val="20"/>
                <w:szCs w:val="20"/>
              </w:rPr>
              <w:t>Dopad</w:t>
            </w:r>
          </w:p>
        </w:tc>
        <w:tc>
          <w:tcPr>
            <w:tcW w:w="2055" w:type="dxa"/>
            <w:tcBorders>
              <w:top w:val="nil"/>
              <w:left w:val="nil"/>
              <w:bottom w:val="single" w:sz="12" w:space="0" w:color="000000"/>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Čas odezvy</w:t>
            </w:r>
          </w:p>
        </w:tc>
        <w:tc>
          <w:tcPr>
            <w:tcW w:w="3450" w:type="dxa"/>
            <w:tcBorders>
              <w:top w:val="nil"/>
              <w:left w:val="nil"/>
              <w:bottom w:val="single" w:sz="12" w:space="0" w:color="000000"/>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Čas vyřešení</w:t>
            </w:r>
          </w:p>
        </w:tc>
      </w:tr>
      <w:tr w:rsidR="00EB27A0">
        <w:tc>
          <w:tcPr>
            <w:tcW w:w="2070"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Znemožňující užití</w:t>
            </w:r>
          </w:p>
        </w:tc>
        <w:tc>
          <w:tcPr>
            <w:tcW w:w="2055"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2 hodin</w:t>
            </w:r>
          </w:p>
        </w:tc>
        <w:tc>
          <w:tcPr>
            <w:tcW w:w="3450" w:type="dxa"/>
            <w:tcBorders>
              <w:top w:val="single" w:sz="12" w:space="0" w:color="000000"/>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4 hodin</w:t>
            </w:r>
          </w:p>
        </w:tc>
      </w:tr>
      <w:tr w:rsidR="00EB27A0">
        <w:tc>
          <w:tcPr>
            <w:tcW w:w="207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Omezující užití</w:t>
            </w:r>
          </w:p>
        </w:tc>
        <w:tc>
          <w:tcPr>
            <w:tcW w:w="2055"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6 hodin</w:t>
            </w:r>
          </w:p>
        </w:tc>
        <w:tc>
          <w:tcPr>
            <w:tcW w:w="345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12 hodin</w:t>
            </w:r>
          </w:p>
        </w:tc>
      </w:tr>
      <w:tr w:rsidR="00EB27A0">
        <w:tc>
          <w:tcPr>
            <w:tcW w:w="207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b/>
                <w:sz w:val="20"/>
                <w:szCs w:val="20"/>
              </w:rPr>
            </w:pPr>
            <w:r>
              <w:rPr>
                <w:b/>
                <w:sz w:val="20"/>
                <w:szCs w:val="20"/>
              </w:rPr>
              <w:t>Ostatní</w:t>
            </w:r>
          </w:p>
        </w:tc>
        <w:tc>
          <w:tcPr>
            <w:tcW w:w="2055"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12 hodin</w:t>
            </w:r>
          </w:p>
        </w:tc>
        <w:tc>
          <w:tcPr>
            <w:tcW w:w="3450" w:type="dxa"/>
            <w:tcBorders>
              <w:left w:val="nil"/>
              <w:right w:val="nil"/>
            </w:tcBorders>
            <w:shd w:val="clear" w:color="auto" w:fill="auto"/>
            <w:tcMar>
              <w:top w:w="100" w:type="dxa"/>
              <w:left w:w="100" w:type="dxa"/>
              <w:bottom w:w="100" w:type="dxa"/>
              <w:right w:w="100" w:type="dxa"/>
            </w:tcMar>
          </w:tcPr>
          <w:p w:rsidR="00EB27A0" w:rsidRDefault="00F06AA6">
            <w:pPr>
              <w:widowControl w:val="0"/>
              <w:pBdr>
                <w:top w:val="nil"/>
                <w:left w:val="nil"/>
                <w:bottom w:val="nil"/>
                <w:right w:val="nil"/>
                <w:between w:val="nil"/>
              </w:pBdr>
              <w:spacing w:line="240" w:lineRule="auto"/>
              <w:rPr>
                <w:sz w:val="20"/>
                <w:szCs w:val="20"/>
              </w:rPr>
            </w:pPr>
            <w:r>
              <w:rPr>
                <w:sz w:val="20"/>
                <w:szCs w:val="20"/>
              </w:rPr>
              <w:t>do 24 hodin</w:t>
            </w:r>
          </w:p>
        </w:tc>
      </w:tr>
    </w:tbl>
    <w:p w:rsidR="00EB27A0" w:rsidRDefault="00EB27A0" w:rsidP="002141A5">
      <w:pPr>
        <w:pBdr>
          <w:top w:val="nil"/>
          <w:left w:val="nil"/>
          <w:bottom w:val="nil"/>
          <w:right w:val="nil"/>
          <w:between w:val="nil"/>
        </w:pBdr>
        <w:jc w:val="both"/>
        <w:rPr>
          <w:sz w:val="20"/>
          <w:szCs w:val="20"/>
        </w:rPr>
      </w:pPr>
    </w:p>
    <w:p w:rsidR="00EB27A0" w:rsidRDefault="00F06AA6" w:rsidP="002141A5">
      <w:pPr>
        <w:numPr>
          <w:ilvl w:val="0"/>
          <w:numId w:val="8"/>
        </w:numPr>
        <w:pBdr>
          <w:top w:val="nil"/>
          <w:left w:val="nil"/>
          <w:bottom w:val="nil"/>
          <w:right w:val="nil"/>
          <w:between w:val="nil"/>
        </w:pBdr>
        <w:contextualSpacing/>
        <w:jc w:val="both"/>
        <w:rPr>
          <w:sz w:val="20"/>
          <w:szCs w:val="20"/>
        </w:rPr>
      </w:pPr>
      <w:r>
        <w:rPr>
          <w:sz w:val="20"/>
          <w:szCs w:val="20"/>
        </w:rPr>
        <w:t>Pro vyloučení pochybností se uvádí, že do Času vyřešení uvedeného pod písmeny a) až c) tohoto odstavce se nezapočítává doba, kdy se čeká na dodávku nového hardware nebo software, výměnu vadného hardware, součinnost Uživatele, případně třetí osoby (subdodavatele) atp.</w:t>
      </w:r>
    </w:p>
    <w:p w:rsidR="00EB27A0" w:rsidRDefault="00F06AA6" w:rsidP="003F2E2F">
      <w:pPr>
        <w:pStyle w:val="Nadpis1"/>
        <w:pBdr>
          <w:top w:val="nil"/>
          <w:left w:val="nil"/>
          <w:bottom w:val="nil"/>
          <w:right w:val="nil"/>
          <w:between w:val="nil"/>
        </w:pBdr>
        <w:jc w:val="center"/>
      </w:pPr>
      <w:bookmarkStart w:id="4" w:name="_6gr5gy2hwo9p" w:colFirst="0" w:colLast="0"/>
      <w:bookmarkEnd w:id="4"/>
      <w:r>
        <w:t>IV. Autorská práva</w:t>
      </w:r>
    </w:p>
    <w:p w:rsidR="00EB27A0" w:rsidRDefault="00F06AA6" w:rsidP="002141A5">
      <w:pPr>
        <w:numPr>
          <w:ilvl w:val="0"/>
          <w:numId w:val="3"/>
        </w:numPr>
        <w:pBdr>
          <w:top w:val="nil"/>
          <w:left w:val="nil"/>
          <w:bottom w:val="nil"/>
          <w:right w:val="nil"/>
          <w:between w:val="nil"/>
        </w:pBdr>
        <w:contextualSpacing/>
        <w:jc w:val="both"/>
        <w:rPr>
          <w:sz w:val="20"/>
          <w:szCs w:val="20"/>
        </w:rPr>
      </w:pPr>
      <w:r>
        <w:rPr>
          <w:sz w:val="20"/>
          <w:szCs w:val="20"/>
        </w:rPr>
        <w:t>Součástí Plnění poskytovaného na základě této Smlouvy může být i vytváření autorských děl ve smyslu zákona č. 121/2000 Sb., autorský zákon, v platném znění (dále jen „Autorské dílo“).</w:t>
      </w:r>
    </w:p>
    <w:p w:rsidR="00EB27A0" w:rsidRDefault="00F06AA6" w:rsidP="002141A5">
      <w:pPr>
        <w:numPr>
          <w:ilvl w:val="0"/>
          <w:numId w:val="3"/>
        </w:numPr>
        <w:pBdr>
          <w:top w:val="nil"/>
          <w:left w:val="nil"/>
          <w:bottom w:val="nil"/>
          <w:right w:val="nil"/>
          <w:between w:val="nil"/>
        </w:pBdr>
        <w:contextualSpacing/>
        <w:jc w:val="both"/>
        <w:rPr>
          <w:sz w:val="20"/>
          <w:szCs w:val="20"/>
        </w:rPr>
      </w:pPr>
      <w:r>
        <w:rPr>
          <w:sz w:val="20"/>
          <w:szCs w:val="20"/>
        </w:rPr>
        <w:t>Poskytovatel podpisem této Smlouvy postupuje Uživateli právo užít každé Autorské dílo, které vznikne v souvislosti s plněním této Smlouvy (dále jen „Licence“), a to za těchto licenčních podmínek:</w:t>
      </w:r>
    </w:p>
    <w:p w:rsidR="00EB27A0" w:rsidRDefault="00F06AA6" w:rsidP="002141A5">
      <w:pPr>
        <w:numPr>
          <w:ilvl w:val="1"/>
          <w:numId w:val="3"/>
        </w:numPr>
        <w:pBdr>
          <w:top w:val="nil"/>
          <w:left w:val="nil"/>
          <w:bottom w:val="nil"/>
          <w:right w:val="nil"/>
          <w:between w:val="nil"/>
        </w:pBdr>
        <w:contextualSpacing/>
        <w:jc w:val="both"/>
        <w:rPr>
          <w:sz w:val="20"/>
          <w:szCs w:val="20"/>
        </w:rPr>
      </w:pPr>
      <w:r>
        <w:rPr>
          <w:sz w:val="20"/>
          <w:szCs w:val="20"/>
        </w:rPr>
        <w:t>časový rozsah užití Autorského díla činí dobu trvání majetkových práv autora,</w:t>
      </w:r>
    </w:p>
    <w:p w:rsidR="00EB27A0" w:rsidRDefault="00F06AA6" w:rsidP="002141A5">
      <w:pPr>
        <w:numPr>
          <w:ilvl w:val="1"/>
          <w:numId w:val="3"/>
        </w:numPr>
        <w:pBdr>
          <w:top w:val="nil"/>
          <w:left w:val="nil"/>
          <w:bottom w:val="nil"/>
          <w:right w:val="nil"/>
          <w:between w:val="nil"/>
        </w:pBdr>
        <w:contextualSpacing/>
        <w:jc w:val="both"/>
        <w:rPr>
          <w:sz w:val="20"/>
          <w:szCs w:val="20"/>
        </w:rPr>
      </w:pPr>
      <w:r>
        <w:rPr>
          <w:sz w:val="20"/>
          <w:szCs w:val="20"/>
        </w:rPr>
        <w:t>územní rozsah užití Autorského díla, či jeho části není omezen,</w:t>
      </w:r>
    </w:p>
    <w:p w:rsidR="00EB27A0" w:rsidRDefault="00F06AA6" w:rsidP="002141A5">
      <w:pPr>
        <w:numPr>
          <w:ilvl w:val="1"/>
          <w:numId w:val="3"/>
        </w:numPr>
        <w:pBdr>
          <w:top w:val="nil"/>
          <w:left w:val="nil"/>
          <w:bottom w:val="nil"/>
          <w:right w:val="nil"/>
          <w:between w:val="nil"/>
        </w:pBdr>
        <w:contextualSpacing/>
        <w:jc w:val="both"/>
        <w:rPr>
          <w:sz w:val="20"/>
          <w:szCs w:val="20"/>
        </w:rPr>
      </w:pPr>
      <w:r>
        <w:rPr>
          <w:sz w:val="20"/>
          <w:szCs w:val="20"/>
        </w:rPr>
        <w:t>Autorské dílo jako celek, jeho dílčí části, či jednotlivé jeho prvky, smí být použity jen v souladu s právními předpisy, obchodními zvyklostmi a dobrými mravy,</w:t>
      </w:r>
    </w:p>
    <w:p w:rsidR="00EB27A0" w:rsidRDefault="00F06AA6" w:rsidP="002141A5">
      <w:pPr>
        <w:numPr>
          <w:ilvl w:val="1"/>
          <w:numId w:val="3"/>
        </w:numPr>
        <w:pBdr>
          <w:top w:val="nil"/>
          <w:left w:val="nil"/>
          <w:bottom w:val="nil"/>
          <w:right w:val="nil"/>
          <w:between w:val="nil"/>
        </w:pBdr>
        <w:contextualSpacing/>
        <w:jc w:val="both"/>
        <w:rPr>
          <w:sz w:val="20"/>
          <w:szCs w:val="20"/>
        </w:rPr>
      </w:pPr>
      <w:r>
        <w:rPr>
          <w:sz w:val="20"/>
          <w:szCs w:val="20"/>
        </w:rPr>
        <w:t xml:space="preserve">Uživatel je oprávněn Autorské dílo neomezeně upravovat a měnit, </w:t>
      </w:r>
    </w:p>
    <w:p w:rsidR="00EB27A0" w:rsidRDefault="00F06AA6" w:rsidP="002141A5">
      <w:pPr>
        <w:numPr>
          <w:ilvl w:val="1"/>
          <w:numId w:val="3"/>
        </w:numPr>
        <w:pBdr>
          <w:top w:val="nil"/>
          <w:left w:val="nil"/>
          <w:bottom w:val="nil"/>
          <w:right w:val="nil"/>
          <w:between w:val="nil"/>
        </w:pBdr>
        <w:contextualSpacing/>
        <w:jc w:val="both"/>
        <w:rPr>
          <w:sz w:val="20"/>
          <w:szCs w:val="20"/>
        </w:rPr>
      </w:pPr>
      <w:r>
        <w:rPr>
          <w:sz w:val="20"/>
          <w:szCs w:val="20"/>
        </w:rPr>
        <w:lastRenderedPageBreak/>
        <w:t>Uživatel je oprávněn poskytnout podlicenci dalším osobám.</w:t>
      </w:r>
    </w:p>
    <w:p w:rsidR="00EB27A0" w:rsidRDefault="00F06AA6" w:rsidP="002141A5">
      <w:pPr>
        <w:numPr>
          <w:ilvl w:val="0"/>
          <w:numId w:val="3"/>
        </w:numPr>
        <w:pBdr>
          <w:top w:val="nil"/>
          <w:left w:val="nil"/>
          <w:bottom w:val="nil"/>
          <w:right w:val="nil"/>
          <w:between w:val="nil"/>
        </w:pBdr>
        <w:contextualSpacing/>
        <w:jc w:val="both"/>
        <w:rPr>
          <w:sz w:val="20"/>
          <w:szCs w:val="20"/>
        </w:rPr>
      </w:pPr>
      <w:r>
        <w:rPr>
          <w:sz w:val="20"/>
          <w:szCs w:val="20"/>
        </w:rPr>
        <w:t>Smluvní strany se dohodly, že Licence je poskytnuta uhrazením faktury za měsíc, ve kterém Autorské dílo vzniklo.</w:t>
      </w:r>
    </w:p>
    <w:p w:rsidR="00EB27A0" w:rsidRDefault="00F06AA6">
      <w:pPr>
        <w:pStyle w:val="Nadpis1"/>
        <w:pBdr>
          <w:top w:val="nil"/>
          <w:left w:val="nil"/>
          <w:bottom w:val="nil"/>
          <w:right w:val="nil"/>
          <w:between w:val="nil"/>
        </w:pBdr>
        <w:jc w:val="center"/>
      </w:pPr>
      <w:bookmarkStart w:id="5" w:name="_xcg2xd7vixek" w:colFirst="0" w:colLast="0"/>
      <w:bookmarkEnd w:id="5"/>
      <w:r>
        <w:t>V. Trvání smlouvy</w:t>
      </w:r>
    </w:p>
    <w:p w:rsidR="00EB27A0" w:rsidRDefault="00F06AA6" w:rsidP="002141A5">
      <w:pPr>
        <w:numPr>
          <w:ilvl w:val="0"/>
          <w:numId w:val="1"/>
        </w:numPr>
        <w:pBdr>
          <w:top w:val="nil"/>
          <w:left w:val="nil"/>
          <w:bottom w:val="nil"/>
          <w:right w:val="nil"/>
          <w:between w:val="nil"/>
        </w:pBdr>
        <w:contextualSpacing/>
        <w:jc w:val="both"/>
        <w:rPr>
          <w:sz w:val="20"/>
          <w:szCs w:val="20"/>
        </w:rPr>
      </w:pPr>
      <w:r>
        <w:rPr>
          <w:sz w:val="20"/>
          <w:szCs w:val="20"/>
        </w:rPr>
        <w:t>Právní vztah založený touto Smlouvou se sjednává na dobu neurčitou, a to počínaje ode dne 1. </w:t>
      </w:r>
      <w:r w:rsidR="00F81A24">
        <w:rPr>
          <w:sz w:val="20"/>
          <w:szCs w:val="20"/>
        </w:rPr>
        <w:t>6</w:t>
      </w:r>
      <w:r>
        <w:rPr>
          <w:sz w:val="20"/>
          <w:szCs w:val="20"/>
        </w:rPr>
        <w:t>. 201</w:t>
      </w:r>
      <w:r w:rsidR="00F81A24">
        <w:rPr>
          <w:sz w:val="20"/>
          <w:szCs w:val="20"/>
        </w:rPr>
        <w:t>8</w:t>
      </w:r>
      <w:r>
        <w:rPr>
          <w:sz w:val="20"/>
          <w:szCs w:val="20"/>
        </w:rPr>
        <w:t>.</w:t>
      </w:r>
    </w:p>
    <w:p w:rsidR="00EB27A0" w:rsidRDefault="00F06AA6">
      <w:pPr>
        <w:pStyle w:val="Nadpis1"/>
        <w:pBdr>
          <w:top w:val="nil"/>
          <w:left w:val="nil"/>
          <w:bottom w:val="nil"/>
          <w:right w:val="nil"/>
          <w:between w:val="nil"/>
        </w:pBdr>
        <w:jc w:val="center"/>
      </w:pPr>
      <w:bookmarkStart w:id="6" w:name="_imintpafceoe" w:colFirst="0" w:colLast="0"/>
      <w:bookmarkEnd w:id="6"/>
      <w:r>
        <w:t>VI. Úplata</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Smluvní strany se dohodly, že úplata za poskytování Podpory a správy IT činí 8 000 Kč bez DPH měsíčně.</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Ceny uvedené v odstavci 1 tohoto článku nezahrnují:</w:t>
      </w:r>
    </w:p>
    <w:p w:rsidR="00EB27A0" w:rsidRDefault="00F06AA6" w:rsidP="002141A5">
      <w:pPr>
        <w:numPr>
          <w:ilvl w:val="1"/>
          <w:numId w:val="7"/>
        </w:numPr>
        <w:pBdr>
          <w:top w:val="nil"/>
          <w:left w:val="nil"/>
          <w:bottom w:val="nil"/>
          <w:right w:val="nil"/>
          <w:between w:val="nil"/>
        </w:pBdr>
        <w:contextualSpacing/>
        <w:jc w:val="both"/>
        <w:rPr>
          <w:sz w:val="20"/>
          <w:szCs w:val="20"/>
        </w:rPr>
      </w:pPr>
      <w:r>
        <w:rPr>
          <w:sz w:val="20"/>
          <w:szCs w:val="20"/>
        </w:rPr>
        <w:t>cenu hardwaru, softwaru, jejich doplňků, spotřebního materiálu nezbytného pro řádné fungování počítačové sítě, serverů, pracovních stanic, připojení k internetu apod.,</w:t>
      </w:r>
    </w:p>
    <w:p w:rsidR="00EB27A0" w:rsidRDefault="00F06AA6" w:rsidP="002141A5">
      <w:pPr>
        <w:numPr>
          <w:ilvl w:val="1"/>
          <w:numId w:val="7"/>
        </w:numPr>
        <w:pBdr>
          <w:top w:val="nil"/>
          <w:left w:val="nil"/>
          <w:bottom w:val="nil"/>
          <w:right w:val="nil"/>
          <w:between w:val="nil"/>
        </w:pBdr>
        <w:contextualSpacing/>
        <w:jc w:val="both"/>
        <w:rPr>
          <w:sz w:val="20"/>
          <w:szCs w:val="20"/>
        </w:rPr>
      </w:pPr>
      <w:r>
        <w:rPr>
          <w:sz w:val="20"/>
          <w:szCs w:val="20"/>
        </w:rPr>
        <w:t>servis poškozeného hardware v záruce i mimo ní.</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 xml:space="preserve">Smluvní strany se dohodly, že veškeré cestovní náklady spojené s Lokálními přístupy v Místě správy jsou zahrnuty v ceně za poskytování Podpory a správy IT. </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Úplatu se Uživatel zavazuje hradit Poskytovateli bezhotovostním převodem příslušné částky na účet uvedený v záhlaví této Smlouvy, a to na základě faktury (daňového dokladu) vystaveného Poskytovatelem za příslušný měsíc. Splatnost faktury (daňového dokladu) je 14 dní. Za den splnění platebního závazku Uživatele se považuje den, ke kterému byla příslušná částka připsána na účet Poskytovatele.</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 xml:space="preserve">Nezaplatí-li Uživatel úplatu do 5 pracovních dnů po její splatnosti dle předchozího odstavce, zavazuje se zaplatit Poskytovateli smluvní pokutu ve výši 100 Kč bez DPH za každý i započatý den prodlení. </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Pokud Uživatel neuhradí úplatu ani do 14 kalendářních dní ode dne splatnosti, je Poskytovatel oprávněn pozastavit poskytování správy počítačové sítě po dobu než bude příslušná měsíční úhrada uhrazena. Během této doby nevzniká Uživateli nárok na vrácení poměrné částky za dny ve kterých nebyla služba poskytována.</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Případný nárok Poskytovatele na úhradu smluvní pokuty bude přičten k fakturované částce následující faktury.</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Uživatel má nárok na úhradu smluvní pokuty při překročení smluveného Času vyřešení ve výši:</w:t>
      </w:r>
    </w:p>
    <w:p w:rsidR="00EB27A0" w:rsidRDefault="00F06AA6" w:rsidP="002141A5">
      <w:pPr>
        <w:numPr>
          <w:ilvl w:val="1"/>
          <w:numId w:val="7"/>
        </w:numPr>
        <w:pBdr>
          <w:top w:val="nil"/>
          <w:left w:val="nil"/>
          <w:bottom w:val="nil"/>
          <w:right w:val="nil"/>
          <w:between w:val="nil"/>
        </w:pBdr>
        <w:contextualSpacing/>
        <w:jc w:val="both"/>
        <w:rPr>
          <w:sz w:val="20"/>
          <w:szCs w:val="20"/>
        </w:rPr>
      </w:pPr>
      <w:r>
        <w:rPr>
          <w:sz w:val="20"/>
          <w:szCs w:val="20"/>
        </w:rPr>
        <w:t>800 Kč bez DPH za každou další započatou hodinu pro Dopad Znemožňující užití,</w:t>
      </w:r>
    </w:p>
    <w:p w:rsidR="00EB27A0" w:rsidRDefault="00F06AA6" w:rsidP="002141A5">
      <w:pPr>
        <w:numPr>
          <w:ilvl w:val="1"/>
          <w:numId w:val="7"/>
        </w:numPr>
        <w:pBdr>
          <w:top w:val="nil"/>
          <w:left w:val="nil"/>
          <w:bottom w:val="nil"/>
          <w:right w:val="nil"/>
          <w:between w:val="nil"/>
        </w:pBdr>
        <w:contextualSpacing/>
        <w:jc w:val="both"/>
        <w:rPr>
          <w:sz w:val="20"/>
          <w:szCs w:val="20"/>
        </w:rPr>
      </w:pPr>
      <w:r>
        <w:rPr>
          <w:sz w:val="20"/>
          <w:szCs w:val="20"/>
        </w:rPr>
        <w:t>400 Kč bez DPH za každou další započatou hodinu pro Dopad Omezující užití, a</w:t>
      </w:r>
    </w:p>
    <w:p w:rsidR="00EB27A0" w:rsidRDefault="00F06AA6" w:rsidP="002141A5">
      <w:pPr>
        <w:numPr>
          <w:ilvl w:val="1"/>
          <w:numId w:val="7"/>
        </w:numPr>
        <w:pBdr>
          <w:top w:val="nil"/>
          <w:left w:val="nil"/>
          <w:bottom w:val="nil"/>
          <w:right w:val="nil"/>
          <w:between w:val="nil"/>
        </w:pBdr>
        <w:contextualSpacing/>
        <w:jc w:val="both"/>
        <w:rPr>
          <w:sz w:val="20"/>
          <w:szCs w:val="20"/>
        </w:rPr>
      </w:pPr>
      <w:r>
        <w:rPr>
          <w:sz w:val="20"/>
          <w:szCs w:val="20"/>
        </w:rPr>
        <w:t>200 Kč bez DPH za každou další započatou hodinu pro Dopad Ostatní.</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Případný nárok Uživatele na úhradu smluvní pokuty bude odečten z fakturované částky následujícího měsíce.</w:t>
      </w:r>
    </w:p>
    <w:p w:rsidR="00EB27A0" w:rsidRDefault="00F06AA6" w:rsidP="002141A5">
      <w:pPr>
        <w:numPr>
          <w:ilvl w:val="0"/>
          <w:numId w:val="7"/>
        </w:numPr>
        <w:pBdr>
          <w:top w:val="nil"/>
          <w:left w:val="nil"/>
          <w:bottom w:val="nil"/>
          <w:right w:val="nil"/>
          <w:between w:val="nil"/>
        </w:pBdr>
        <w:contextualSpacing/>
        <w:jc w:val="both"/>
        <w:rPr>
          <w:sz w:val="20"/>
          <w:szCs w:val="20"/>
        </w:rPr>
      </w:pPr>
      <w:r>
        <w:rPr>
          <w:sz w:val="20"/>
          <w:szCs w:val="20"/>
        </w:rPr>
        <w:t>Smluvní strany se dohodly, že Poskytovatel může provést jednou za kalendářní rok úpravu úplaty za poskytování služeb dle této Smlouvy, a to vždy k prvému dni kalendářního měsíce, v němž byla tato  Smlouva podepsána. Úplata za poskytování služeb dle této Smlouvy bude upravena o inflaci předcházejícího kalendářního roku. Při výpočtu inflačního nárůstu bude postupováno podle indexu růstu spotřebitelských cen (ISC) za předcházející kalendářní rok, který publikuje Český statistický úřad.</w:t>
      </w:r>
    </w:p>
    <w:p w:rsidR="00EB27A0" w:rsidRDefault="00F06AA6">
      <w:pPr>
        <w:pStyle w:val="Nadpis1"/>
        <w:pBdr>
          <w:top w:val="nil"/>
          <w:left w:val="nil"/>
          <w:bottom w:val="nil"/>
          <w:right w:val="nil"/>
          <w:between w:val="nil"/>
        </w:pBdr>
        <w:jc w:val="center"/>
      </w:pPr>
      <w:bookmarkStart w:id="7" w:name="_p6yj5mwinj9g" w:colFirst="0" w:colLast="0"/>
      <w:bookmarkEnd w:id="7"/>
      <w:r>
        <w:t>VII. Zánik smlouvy</w:t>
      </w:r>
    </w:p>
    <w:p w:rsidR="00EB27A0" w:rsidRDefault="00F06AA6">
      <w:pPr>
        <w:numPr>
          <w:ilvl w:val="0"/>
          <w:numId w:val="5"/>
        </w:numPr>
        <w:pBdr>
          <w:top w:val="nil"/>
          <w:left w:val="nil"/>
          <w:bottom w:val="nil"/>
          <w:right w:val="nil"/>
          <w:between w:val="nil"/>
        </w:pBdr>
        <w:contextualSpacing/>
        <w:rPr>
          <w:sz w:val="20"/>
          <w:szCs w:val="20"/>
        </w:rPr>
      </w:pPr>
      <w:r>
        <w:rPr>
          <w:sz w:val="20"/>
          <w:szCs w:val="20"/>
        </w:rPr>
        <w:t>Tato Smlouva končí:</w:t>
      </w:r>
    </w:p>
    <w:p w:rsidR="00EB27A0" w:rsidRDefault="00F06AA6">
      <w:pPr>
        <w:numPr>
          <w:ilvl w:val="1"/>
          <w:numId w:val="5"/>
        </w:numPr>
        <w:pBdr>
          <w:top w:val="nil"/>
          <w:left w:val="nil"/>
          <w:bottom w:val="nil"/>
          <w:right w:val="nil"/>
          <w:between w:val="nil"/>
        </w:pBdr>
        <w:contextualSpacing/>
        <w:rPr>
          <w:sz w:val="20"/>
          <w:szCs w:val="20"/>
        </w:rPr>
      </w:pPr>
      <w:r>
        <w:rPr>
          <w:sz w:val="20"/>
          <w:szCs w:val="20"/>
        </w:rPr>
        <w:t>výpovědí,</w:t>
      </w:r>
    </w:p>
    <w:p w:rsidR="00EB27A0" w:rsidRDefault="00F06AA6" w:rsidP="002141A5">
      <w:pPr>
        <w:numPr>
          <w:ilvl w:val="1"/>
          <w:numId w:val="5"/>
        </w:numPr>
        <w:pBdr>
          <w:top w:val="nil"/>
          <w:left w:val="nil"/>
          <w:bottom w:val="nil"/>
          <w:right w:val="nil"/>
          <w:between w:val="nil"/>
        </w:pBdr>
        <w:contextualSpacing/>
        <w:jc w:val="both"/>
        <w:rPr>
          <w:sz w:val="20"/>
          <w:szCs w:val="20"/>
        </w:rPr>
      </w:pPr>
      <w:r>
        <w:rPr>
          <w:sz w:val="20"/>
          <w:szCs w:val="20"/>
        </w:rPr>
        <w:t>odstoupením, nebo</w:t>
      </w:r>
    </w:p>
    <w:p w:rsidR="00EB27A0" w:rsidRDefault="00F06AA6" w:rsidP="002141A5">
      <w:pPr>
        <w:numPr>
          <w:ilvl w:val="1"/>
          <w:numId w:val="5"/>
        </w:numPr>
        <w:pBdr>
          <w:top w:val="nil"/>
          <w:left w:val="nil"/>
          <w:bottom w:val="nil"/>
          <w:right w:val="nil"/>
          <w:between w:val="nil"/>
        </w:pBdr>
        <w:contextualSpacing/>
        <w:jc w:val="both"/>
        <w:rPr>
          <w:sz w:val="20"/>
          <w:szCs w:val="20"/>
        </w:rPr>
      </w:pPr>
      <w:r>
        <w:rPr>
          <w:sz w:val="20"/>
          <w:szCs w:val="20"/>
        </w:rPr>
        <w:t xml:space="preserve">dohodou smluvních stran. </w:t>
      </w:r>
    </w:p>
    <w:p w:rsidR="00EB27A0" w:rsidRDefault="00F06AA6" w:rsidP="002141A5">
      <w:pPr>
        <w:numPr>
          <w:ilvl w:val="0"/>
          <w:numId w:val="5"/>
        </w:numPr>
        <w:pBdr>
          <w:top w:val="nil"/>
          <w:left w:val="nil"/>
          <w:bottom w:val="nil"/>
          <w:right w:val="nil"/>
          <w:between w:val="nil"/>
        </w:pBdr>
        <w:contextualSpacing/>
        <w:jc w:val="both"/>
        <w:rPr>
          <w:sz w:val="20"/>
          <w:szCs w:val="20"/>
        </w:rPr>
      </w:pPr>
      <w:r>
        <w:rPr>
          <w:sz w:val="20"/>
          <w:szCs w:val="20"/>
        </w:rPr>
        <w:t>Smlouvu mohou vypovědět Uživatel i Poskytovatel, a to i bez udání důvodu. Výpovědní lhůta činí tři měsíce a počíná běžet od prvého dne měsíce následujícího po doručení výpovědi druhé smluvní straně.</w:t>
      </w:r>
    </w:p>
    <w:p w:rsidR="00EB27A0" w:rsidRDefault="00F06AA6" w:rsidP="002141A5">
      <w:pPr>
        <w:numPr>
          <w:ilvl w:val="0"/>
          <w:numId w:val="5"/>
        </w:numPr>
        <w:pBdr>
          <w:top w:val="nil"/>
          <w:left w:val="nil"/>
          <w:bottom w:val="nil"/>
          <w:right w:val="nil"/>
          <w:between w:val="nil"/>
        </w:pBdr>
        <w:contextualSpacing/>
        <w:jc w:val="both"/>
        <w:rPr>
          <w:sz w:val="20"/>
          <w:szCs w:val="20"/>
        </w:rPr>
      </w:pPr>
      <w:r>
        <w:rPr>
          <w:sz w:val="20"/>
          <w:szCs w:val="20"/>
        </w:rPr>
        <w:lastRenderedPageBreak/>
        <w:t>V případě prodlení jedné smluvní strany se svým závazkem delším než 30 dnů, je druhá smluvní strana oprávněna od této Smlouvy písemně odstoupit s okamžitou platností</w:t>
      </w:r>
    </w:p>
    <w:p w:rsidR="00EB27A0" w:rsidRDefault="00EB27A0" w:rsidP="002141A5">
      <w:pPr>
        <w:pBdr>
          <w:top w:val="nil"/>
          <w:left w:val="nil"/>
          <w:bottom w:val="nil"/>
          <w:right w:val="nil"/>
          <w:between w:val="nil"/>
        </w:pBdr>
        <w:jc w:val="both"/>
        <w:rPr>
          <w:sz w:val="20"/>
          <w:szCs w:val="20"/>
        </w:rPr>
      </w:pPr>
    </w:p>
    <w:p w:rsidR="00EB27A0" w:rsidRDefault="00F06AA6">
      <w:pPr>
        <w:pStyle w:val="Nadpis1"/>
        <w:pBdr>
          <w:top w:val="nil"/>
          <w:left w:val="nil"/>
          <w:bottom w:val="nil"/>
          <w:right w:val="nil"/>
          <w:between w:val="nil"/>
        </w:pBdr>
        <w:jc w:val="center"/>
      </w:pPr>
      <w:bookmarkStart w:id="8" w:name="_agj5yf6p6ruj" w:colFirst="0" w:colLast="0"/>
      <w:bookmarkEnd w:id="8"/>
      <w:r>
        <w:t>VIII. Ochrana informací</w:t>
      </w:r>
    </w:p>
    <w:p w:rsidR="00EB27A0" w:rsidRDefault="00F06AA6" w:rsidP="002141A5">
      <w:pPr>
        <w:numPr>
          <w:ilvl w:val="0"/>
          <w:numId w:val="6"/>
        </w:numPr>
        <w:pBdr>
          <w:top w:val="nil"/>
          <w:left w:val="nil"/>
          <w:bottom w:val="nil"/>
          <w:right w:val="nil"/>
          <w:between w:val="nil"/>
        </w:pBdr>
        <w:contextualSpacing/>
        <w:jc w:val="both"/>
        <w:rPr>
          <w:sz w:val="20"/>
          <w:szCs w:val="20"/>
        </w:rPr>
      </w:pPr>
      <w:r>
        <w:rPr>
          <w:sz w:val="20"/>
          <w:szCs w:val="20"/>
        </w:rPr>
        <w:t>Veškeré skutečnosti obchodní, ekonomické či technické povahy související se smluvními stranami a touto Smlouvou, které nejsou běžně dostupné v obchodních kruzích a se kterými při zajištění plnění přijdou smluvní strany do styku jsou obchodním tajemstvím. Povahu obchodního tajemství pro účely této Smlouvy ztrácejí, pokud jsou dohodou obou smluvních stran určeny ke zveřejnění.</w:t>
      </w:r>
    </w:p>
    <w:p w:rsidR="00EB27A0" w:rsidRDefault="00F06AA6" w:rsidP="002141A5">
      <w:pPr>
        <w:numPr>
          <w:ilvl w:val="0"/>
          <w:numId w:val="6"/>
        </w:numPr>
        <w:pBdr>
          <w:top w:val="nil"/>
          <w:left w:val="nil"/>
          <w:bottom w:val="nil"/>
          <w:right w:val="nil"/>
          <w:between w:val="nil"/>
        </w:pBdr>
        <w:contextualSpacing/>
        <w:jc w:val="both"/>
        <w:rPr>
          <w:sz w:val="20"/>
          <w:szCs w:val="20"/>
        </w:rPr>
      </w:pPr>
      <w:r>
        <w:rPr>
          <w:sz w:val="20"/>
          <w:szCs w:val="20"/>
        </w:rPr>
        <w:t>Smluvní strany se zavazují, že jiným subjektům nesdělí, nezpřístupní, pro sebe nebo pro jiného nevyužijí obchodního tajemství. Veškeré získané informace této povahy pozdrží v přísné tajnosti a omezí jejich sdělení pouze na ty zaměstnance nebo pracovníky, kteří jsou oprávněni v souvislosti s obsahem a předmětem Smlouvy tyto informace mít. Tato povinnost se nevztahuje na:</w:t>
      </w:r>
    </w:p>
    <w:p w:rsidR="00EB27A0" w:rsidRDefault="00F06AA6" w:rsidP="002141A5">
      <w:pPr>
        <w:numPr>
          <w:ilvl w:val="1"/>
          <w:numId w:val="6"/>
        </w:numPr>
        <w:pBdr>
          <w:top w:val="nil"/>
          <w:left w:val="nil"/>
          <w:bottom w:val="nil"/>
          <w:right w:val="nil"/>
          <w:between w:val="nil"/>
        </w:pBdr>
        <w:contextualSpacing/>
        <w:jc w:val="both"/>
        <w:rPr>
          <w:sz w:val="20"/>
          <w:szCs w:val="20"/>
        </w:rPr>
      </w:pPr>
      <w:r>
        <w:rPr>
          <w:sz w:val="20"/>
          <w:szCs w:val="20"/>
        </w:rPr>
        <w:t>informace poskytnuté třetí osobě (subdodavateli) z důvodu plnění této Smlouvy nebo prováděcí dohody, nebo</w:t>
      </w:r>
    </w:p>
    <w:p w:rsidR="00EB27A0" w:rsidRDefault="00F06AA6" w:rsidP="002141A5">
      <w:pPr>
        <w:numPr>
          <w:ilvl w:val="1"/>
          <w:numId w:val="6"/>
        </w:numPr>
        <w:pBdr>
          <w:top w:val="nil"/>
          <w:left w:val="nil"/>
          <w:bottom w:val="nil"/>
          <w:right w:val="nil"/>
          <w:between w:val="nil"/>
        </w:pBdr>
        <w:contextualSpacing/>
        <w:jc w:val="both"/>
        <w:rPr>
          <w:sz w:val="20"/>
          <w:szCs w:val="20"/>
        </w:rPr>
      </w:pPr>
      <w:r>
        <w:rPr>
          <w:sz w:val="20"/>
          <w:szCs w:val="20"/>
        </w:rPr>
        <w:t>informace, které druhá smluvní strana sama zveřejní nebo způsobí, že jsou veřejnosti přístupné, nebo</w:t>
      </w:r>
    </w:p>
    <w:p w:rsidR="00EB27A0" w:rsidRDefault="00F06AA6" w:rsidP="002141A5">
      <w:pPr>
        <w:numPr>
          <w:ilvl w:val="1"/>
          <w:numId w:val="6"/>
        </w:numPr>
        <w:pBdr>
          <w:top w:val="nil"/>
          <w:left w:val="nil"/>
          <w:bottom w:val="nil"/>
          <w:right w:val="nil"/>
          <w:between w:val="nil"/>
        </w:pBdr>
        <w:contextualSpacing/>
        <w:jc w:val="both"/>
        <w:rPr>
          <w:sz w:val="20"/>
          <w:szCs w:val="20"/>
        </w:rPr>
      </w:pPr>
      <w:r>
        <w:rPr>
          <w:sz w:val="20"/>
          <w:szCs w:val="20"/>
        </w:rPr>
        <w:t>informace obecně známé, nebo</w:t>
      </w:r>
    </w:p>
    <w:p w:rsidR="00EB27A0" w:rsidRDefault="00F06AA6" w:rsidP="002141A5">
      <w:pPr>
        <w:numPr>
          <w:ilvl w:val="1"/>
          <w:numId w:val="6"/>
        </w:numPr>
        <w:pBdr>
          <w:top w:val="nil"/>
          <w:left w:val="nil"/>
          <w:bottom w:val="nil"/>
          <w:right w:val="nil"/>
          <w:between w:val="nil"/>
        </w:pBdr>
        <w:contextualSpacing/>
        <w:jc w:val="both"/>
        <w:rPr>
          <w:sz w:val="20"/>
          <w:szCs w:val="20"/>
        </w:rPr>
      </w:pPr>
      <w:r>
        <w:rPr>
          <w:sz w:val="20"/>
          <w:szCs w:val="20"/>
        </w:rPr>
        <w:t>informace poskytnuté třetí osobě z důvodu plnění zákonné povinnosti (auditorovi, daňovému poradci apod.).</w:t>
      </w:r>
    </w:p>
    <w:p w:rsidR="00EB27A0" w:rsidRDefault="00F06AA6" w:rsidP="002141A5">
      <w:pPr>
        <w:pStyle w:val="Nadpis1"/>
        <w:pBdr>
          <w:top w:val="nil"/>
          <w:left w:val="nil"/>
          <w:bottom w:val="nil"/>
          <w:right w:val="nil"/>
          <w:between w:val="nil"/>
        </w:pBdr>
        <w:jc w:val="center"/>
      </w:pPr>
      <w:bookmarkStart w:id="9" w:name="_vfop2hohqpo4" w:colFirst="0" w:colLast="0"/>
      <w:bookmarkEnd w:id="9"/>
      <w:r>
        <w:t>IX. Závěrečná ustanovení</w:t>
      </w:r>
    </w:p>
    <w:p w:rsidR="00EB27A0" w:rsidRDefault="00F06AA6" w:rsidP="002141A5">
      <w:pPr>
        <w:numPr>
          <w:ilvl w:val="0"/>
          <w:numId w:val="2"/>
        </w:numPr>
        <w:pBdr>
          <w:top w:val="nil"/>
          <w:left w:val="nil"/>
          <w:bottom w:val="nil"/>
          <w:right w:val="nil"/>
          <w:between w:val="nil"/>
        </w:pBdr>
        <w:contextualSpacing/>
        <w:jc w:val="both"/>
        <w:rPr>
          <w:sz w:val="20"/>
          <w:szCs w:val="20"/>
        </w:rPr>
      </w:pPr>
      <w:r>
        <w:rPr>
          <w:sz w:val="20"/>
          <w:szCs w:val="20"/>
        </w:rPr>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rsidR="00EB27A0" w:rsidRDefault="00F06AA6" w:rsidP="002141A5">
      <w:pPr>
        <w:numPr>
          <w:ilvl w:val="0"/>
          <w:numId w:val="2"/>
        </w:numPr>
        <w:pBdr>
          <w:top w:val="nil"/>
          <w:left w:val="nil"/>
          <w:bottom w:val="nil"/>
          <w:right w:val="nil"/>
          <w:between w:val="nil"/>
        </w:pBdr>
        <w:contextualSpacing/>
        <w:jc w:val="both"/>
        <w:rPr>
          <w:sz w:val="20"/>
          <w:szCs w:val="20"/>
        </w:rPr>
      </w:pPr>
      <w:r>
        <w:rPr>
          <w:sz w:val="20"/>
          <w:szCs w:val="20"/>
        </w:rPr>
        <w:t>Smlouva může být měněna či doplňována pouze písemnými, oboustranně dohodnutými a vzestupně číslovanými dodatky.</w:t>
      </w:r>
    </w:p>
    <w:p w:rsidR="00EB27A0" w:rsidRDefault="00F06AA6" w:rsidP="002141A5">
      <w:pPr>
        <w:numPr>
          <w:ilvl w:val="0"/>
          <w:numId w:val="2"/>
        </w:numPr>
        <w:pBdr>
          <w:top w:val="nil"/>
          <w:left w:val="nil"/>
          <w:bottom w:val="nil"/>
          <w:right w:val="nil"/>
          <w:between w:val="nil"/>
        </w:pBdr>
        <w:contextualSpacing/>
        <w:jc w:val="both"/>
        <w:rPr>
          <w:sz w:val="20"/>
          <w:szCs w:val="20"/>
        </w:rPr>
      </w:pPr>
      <w:r>
        <w:rPr>
          <w:sz w:val="20"/>
          <w:szCs w:val="20"/>
        </w:rPr>
        <w:t>Smluvní strany se dohodly, že veškeré písemnosti budou zasílány na adresu uvedenou v záhlaví této Smlouvy. Pokud některá ze smluvních stran nepřevezme doporučenou zásilku, bude zásilka uložena u poskytovatele poštovních služeb a po 15 dnech od tohoto uložení považována za doručenou.</w:t>
      </w:r>
    </w:p>
    <w:p w:rsidR="00EB27A0" w:rsidRDefault="00F06AA6" w:rsidP="002141A5">
      <w:pPr>
        <w:numPr>
          <w:ilvl w:val="0"/>
          <w:numId w:val="2"/>
        </w:numPr>
        <w:pBdr>
          <w:top w:val="nil"/>
          <w:left w:val="nil"/>
          <w:bottom w:val="nil"/>
          <w:right w:val="nil"/>
          <w:between w:val="nil"/>
        </w:pBdr>
        <w:contextualSpacing/>
        <w:jc w:val="both"/>
        <w:rPr>
          <w:sz w:val="20"/>
          <w:szCs w:val="20"/>
        </w:rPr>
      </w:pPr>
      <w:r>
        <w:rPr>
          <w:sz w:val="20"/>
          <w:szCs w:val="20"/>
        </w:rPr>
        <w:t xml:space="preserve">Tato Smlouva je vyhotovena ve dvou vyhotoveních, z nichž každá smluvní strana obdrží po jednom. </w:t>
      </w:r>
    </w:p>
    <w:p w:rsidR="00EB27A0" w:rsidRDefault="00F06AA6" w:rsidP="002141A5">
      <w:pPr>
        <w:numPr>
          <w:ilvl w:val="0"/>
          <w:numId w:val="2"/>
        </w:numPr>
        <w:pBdr>
          <w:top w:val="nil"/>
          <w:left w:val="nil"/>
          <w:bottom w:val="nil"/>
          <w:right w:val="nil"/>
          <w:between w:val="nil"/>
        </w:pBdr>
        <w:contextualSpacing/>
        <w:jc w:val="both"/>
        <w:rPr>
          <w:sz w:val="20"/>
          <w:szCs w:val="20"/>
        </w:rPr>
      </w:pPr>
      <w:r>
        <w:rPr>
          <w:sz w:val="20"/>
          <w:szCs w:val="20"/>
        </w:rPr>
        <w:t>Smluvní strany prohlašují, že si tuto Smlouvu před jejím podpisem řádně přečetly, že byla uzavřena po vzájemné dohodě podle jejich pravé a svobodné vůle, určitě, vážně a srozumitelně, nikoli v tísni a za nápadně nevýhodných podmínek.</w:t>
      </w:r>
    </w:p>
    <w:p w:rsidR="00EB27A0" w:rsidRDefault="00F06AA6" w:rsidP="002141A5">
      <w:pPr>
        <w:numPr>
          <w:ilvl w:val="0"/>
          <w:numId w:val="2"/>
        </w:numPr>
        <w:pBdr>
          <w:top w:val="nil"/>
          <w:left w:val="nil"/>
          <w:bottom w:val="nil"/>
          <w:right w:val="nil"/>
          <w:between w:val="nil"/>
        </w:pBdr>
        <w:contextualSpacing/>
        <w:jc w:val="both"/>
        <w:rPr>
          <w:sz w:val="20"/>
          <w:szCs w:val="20"/>
        </w:rPr>
      </w:pPr>
      <w:r>
        <w:rPr>
          <w:sz w:val="20"/>
          <w:szCs w:val="20"/>
        </w:rPr>
        <w:t xml:space="preserve">Shodnou vůli s podmínkami této Smlouvy stvrzují smluvní strany svými vlastnoručními podpisy.    </w:t>
      </w:r>
    </w:p>
    <w:p w:rsidR="00EB27A0" w:rsidRDefault="00EB27A0">
      <w:pPr>
        <w:pBdr>
          <w:top w:val="nil"/>
          <w:left w:val="nil"/>
          <w:bottom w:val="nil"/>
          <w:right w:val="nil"/>
          <w:between w:val="nil"/>
        </w:pBdr>
        <w:rPr>
          <w:sz w:val="20"/>
          <w:szCs w:val="20"/>
        </w:rPr>
      </w:pPr>
    </w:p>
    <w:p w:rsidR="00EB27A0" w:rsidRDefault="00EB27A0">
      <w:pPr>
        <w:pBdr>
          <w:top w:val="nil"/>
          <w:left w:val="nil"/>
          <w:bottom w:val="nil"/>
          <w:right w:val="nil"/>
          <w:between w:val="nil"/>
        </w:pBdr>
        <w:rPr>
          <w:sz w:val="20"/>
          <w:szCs w:val="20"/>
        </w:rPr>
      </w:pPr>
    </w:p>
    <w:p w:rsidR="00EB27A0" w:rsidRDefault="00F06AA6">
      <w:pPr>
        <w:pBdr>
          <w:top w:val="nil"/>
          <w:left w:val="nil"/>
          <w:bottom w:val="nil"/>
          <w:right w:val="nil"/>
          <w:between w:val="nil"/>
        </w:pBdr>
        <w:tabs>
          <w:tab w:val="left" w:pos="4535"/>
        </w:tabs>
        <w:rPr>
          <w:sz w:val="20"/>
          <w:szCs w:val="20"/>
        </w:rPr>
      </w:pPr>
      <w:r>
        <w:rPr>
          <w:sz w:val="20"/>
          <w:szCs w:val="20"/>
        </w:rPr>
        <w:t xml:space="preserve">Za Uživatele, v Praze dne </w:t>
      </w:r>
      <w:r w:rsidR="00F81A24">
        <w:rPr>
          <w:sz w:val="20"/>
          <w:szCs w:val="20"/>
        </w:rPr>
        <w:t>31</w:t>
      </w:r>
      <w:r>
        <w:rPr>
          <w:sz w:val="20"/>
          <w:szCs w:val="20"/>
        </w:rPr>
        <w:t>. 5. 2018</w:t>
      </w:r>
      <w:r>
        <w:rPr>
          <w:sz w:val="20"/>
          <w:szCs w:val="20"/>
        </w:rPr>
        <w:tab/>
        <w:t xml:space="preserve">Za Poskytovatele, v Praze dne </w:t>
      </w:r>
      <w:r w:rsidR="00F81A24">
        <w:rPr>
          <w:sz w:val="20"/>
          <w:szCs w:val="20"/>
        </w:rPr>
        <w:t>31</w:t>
      </w:r>
      <w:r>
        <w:rPr>
          <w:sz w:val="20"/>
          <w:szCs w:val="20"/>
        </w:rPr>
        <w:t>. 5. 2018</w:t>
      </w:r>
    </w:p>
    <w:p w:rsidR="00EB27A0" w:rsidRDefault="00EB27A0">
      <w:pPr>
        <w:pBdr>
          <w:top w:val="nil"/>
          <w:left w:val="nil"/>
          <w:bottom w:val="nil"/>
          <w:right w:val="nil"/>
          <w:between w:val="nil"/>
        </w:pBdr>
        <w:rPr>
          <w:sz w:val="20"/>
          <w:szCs w:val="20"/>
        </w:rPr>
      </w:pPr>
    </w:p>
    <w:p w:rsidR="00EB27A0" w:rsidRDefault="00F06AA6">
      <w:pPr>
        <w:pBdr>
          <w:top w:val="nil"/>
          <w:left w:val="nil"/>
          <w:bottom w:val="nil"/>
          <w:right w:val="nil"/>
          <w:between w:val="nil"/>
        </w:pBdr>
        <w:rPr>
          <w:sz w:val="20"/>
          <w:szCs w:val="20"/>
        </w:rPr>
      </w:pPr>
      <w:r>
        <w:rPr>
          <w:sz w:val="20"/>
          <w:szCs w:val="20"/>
        </w:rPr>
        <w:tab/>
      </w:r>
      <w:r>
        <w:rPr>
          <w:sz w:val="20"/>
          <w:szCs w:val="20"/>
        </w:rPr>
        <w:tab/>
      </w:r>
      <w:r>
        <w:rPr>
          <w:sz w:val="20"/>
          <w:szCs w:val="20"/>
        </w:rPr>
        <w:tab/>
      </w:r>
    </w:p>
    <w:p w:rsidR="00EB27A0" w:rsidRDefault="00EB27A0">
      <w:pPr>
        <w:pBdr>
          <w:top w:val="nil"/>
          <w:left w:val="nil"/>
          <w:bottom w:val="nil"/>
          <w:right w:val="nil"/>
          <w:between w:val="nil"/>
        </w:pBdr>
        <w:tabs>
          <w:tab w:val="center" w:pos="6519"/>
          <w:tab w:val="center" w:pos="1984"/>
        </w:tabs>
        <w:ind w:firstLine="720"/>
        <w:rPr>
          <w:sz w:val="20"/>
          <w:szCs w:val="20"/>
        </w:rPr>
      </w:pPr>
    </w:p>
    <w:p w:rsidR="00F81A24" w:rsidRDefault="00F81A24">
      <w:pPr>
        <w:pBdr>
          <w:top w:val="nil"/>
          <w:left w:val="nil"/>
          <w:bottom w:val="nil"/>
          <w:right w:val="nil"/>
          <w:between w:val="nil"/>
        </w:pBdr>
        <w:tabs>
          <w:tab w:val="center" w:pos="6519"/>
          <w:tab w:val="center" w:pos="1984"/>
        </w:tabs>
        <w:ind w:firstLine="720"/>
        <w:rPr>
          <w:sz w:val="20"/>
          <w:szCs w:val="20"/>
        </w:rPr>
      </w:pPr>
    </w:p>
    <w:p w:rsidR="00EB27A0" w:rsidRDefault="00EB27A0">
      <w:pPr>
        <w:pBdr>
          <w:top w:val="nil"/>
          <w:left w:val="nil"/>
          <w:bottom w:val="nil"/>
          <w:right w:val="nil"/>
          <w:between w:val="nil"/>
        </w:pBdr>
        <w:tabs>
          <w:tab w:val="center" w:pos="6519"/>
          <w:tab w:val="center" w:pos="1984"/>
        </w:tabs>
        <w:ind w:firstLine="720"/>
        <w:rPr>
          <w:sz w:val="20"/>
          <w:szCs w:val="20"/>
        </w:rPr>
      </w:pPr>
    </w:p>
    <w:p w:rsidR="00EB27A0" w:rsidRDefault="00EB27A0">
      <w:pPr>
        <w:pBdr>
          <w:top w:val="nil"/>
          <w:left w:val="nil"/>
          <w:bottom w:val="nil"/>
          <w:right w:val="nil"/>
          <w:between w:val="nil"/>
        </w:pBdr>
        <w:tabs>
          <w:tab w:val="center" w:pos="6519"/>
          <w:tab w:val="center" w:pos="1984"/>
        </w:tabs>
        <w:ind w:firstLine="720"/>
        <w:rPr>
          <w:sz w:val="20"/>
          <w:szCs w:val="20"/>
        </w:rPr>
      </w:pPr>
    </w:p>
    <w:p w:rsidR="00EB27A0" w:rsidRDefault="00F06AA6">
      <w:pPr>
        <w:pBdr>
          <w:top w:val="nil"/>
          <w:left w:val="nil"/>
          <w:bottom w:val="nil"/>
          <w:right w:val="nil"/>
          <w:between w:val="nil"/>
        </w:pBdr>
        <w:tabs>
          <w:tab w:val="center" w:pos="6803"/>
          <w:tab w:val="center" w:pos="2267"/>
        </w:tabs>
        <w:rPr>
          <w:sz w:val="20"/>
          <w:szCs w:val="20"/>
        </w:rPr>
      </w:pPr>
      <w:r>
        <w:rPr>
          <w:sz w:val="20"/>
          <w:szCs w:val="20"/>
        </w:rPr>
        <w:tab/>
      </w:r>
      <w:bookmarkStart w:id="10" w:name="_GoBack"/>
      <w:bookmarkEnd w:id="10"/>
    </w:p>
    <w:p w:rsidR="00EB27A0" w:rsidRDefault="00F06AA6">
      <w:pPr>
        <w:pBdr>
          <w:top w:val="nil"/>
          <w:left w:val="nil"/>
          <w:bottom w:val="nil"/>
          <w:right w:val="nil"/>
          <w:between w:val="nil"/>
        </w:pBdr>
        <w:tabs>
          <w:tab w:val="center" w:pos="6803"/>
          <w:tab w:val="center" w:pos="2267"/>
        </w:tabs>
        <w:rPr>
          <w:sz w:val="20"/>
          <w:szCs w:val="20"/>
        </w:rPr>
      </w:pPr>
      <w:r>
        <w:rPr>
          <w:sz w:val="20"/>
          <w:szCs w:val="20"/>
        </w:rPr>
        <w:t>SPŠE V Úžlabině</w:t>
      </w:r>
      <w:r>
        <w:rPr>
          <w:sz w:val="20"/>
          <w:szCs w:val="20"/>
        </w:rPr>
        <w:tab/>
        <w:t>INSOFT s.r.o.</w:t>
      </w:r>
    </w:p>
    <w:sectPr w:rsidR="00EB27A0" w:rsidSect="002141A5">
      <w:footerReference w:type="default" r:id="rId7"/>
      <w:pgSz w:w="11909" w:h="16834"/>
      <w:pgMar w:top="1440" w:right="1136" w:bottom="1440" w:left="1134"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1F7" w:rsidRDefault="00B231F7">
      <w:pPr>
        <w:spacing w:line="240" w:lineRule="auto"/>
      </w:pPr>
      <w:r>
        <w:separator/>
      </w:r>
    </w:p>
  </w:endnote>
  <w:endnote w:type="continuationSeparator" w:id="0">
    <w:p w:rsidR="00B231F7" w:rsidRDefault="00B23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A0" w:rsidRDefault="00F06AA6">
    <w:pPr>
      <w:pBdr>
        <w:top w:val="nil"/>
        <w:left w:val="nil"/>
        <w:bottom w:val="nil"/>
        <w:right w:val="nil"/>
        <w:between w:val="nil"/>
      </w:pBdr>
      <w:jc w:val="right"/>
      <w:rPr>
        <w:sz w:val="20"/>
        <w:szCs w:val="20"/>
      </w:rPr>
    </w:pPr>
    <w:r>
      <w:rPr>
        <w:sz w:val="20"/>
        <w:szCs w:val="20"/>
      </w:rPr>
      <w:t xml:space="preserve">strana </w:t>
    </w:r>
    <w:r>
      <w:rPr>
        <w:sz w:val="20"/>
        <w:szCs w:val="20"/>
      </w:rPr>
      <w:fldChar w:fldCharType="begin"/>
    </w:r>
    <w:r>
      <w:rPr>
        <w:sz w:val="20"/>
        <w:szCs w:val="20"/>
      </w:rPr>
      <w:instrText>PAGE</w:instrText>
    </w:r>
    <w:r>
      <w:rPr>
        <w:sz w:val="20"/>
        <w:szCs w:val="20"/>
      </w:rPr>
      <w:fldChar w:fldCharType="separate"/>
    </w:r>
    <w:r w:rsidR="000C003A">
      <w:rPr>
        <w:noProof/>
        <w:sz w:val="20"/>
        <w:szCs w:val="20"/>
      </w:rPr>
      <w:t>4</w:t>
    </w:r>
    <w:r>
      <w:rPr>
        <w:sz w:val="20"/>
        <w:szCs w:val="20"/>
      </w:rPr>
      <w:fldChar w:fldCharType="end"/>
    </w:r>
    <w:r>
      <w:rPr>
        <w:sz w:val="20"/>
        <w:szCs w:val="20"/>
      </w:rPr>
      <w:t xml:space="preserve"> z </w:t>
    </w:r>
    <w:r>
      <w:rPr>
        <w:sz w:val="20"/>
        <w:szCs w:val="20"/>
      </w:rPr>
      <w:fldChar w:fldCharType="begin"/>
    </w:r>
    <w:r>
      <w:rPr>
        <w:sz w:val="20"/>
        <w:szCs w:val="20"/>
      </w:rPr>
      <w:instrText>NUMPAGES</w:instrText>
    </w:r>
    <w:r>
      <w:rPr>
        <w:sz w:val="20"/>
        <w:szCs w:val="20"/>
      </w:rPr>
      <w:fldChar w:fldCharType="separate"/>
    </w:r>
    <w:r w:rsidR="000C003A">
      <w:rPr>
        <w:noProof/>
        <w:sz w:val="20"/>
        <w:szCs w:val="20"/>
      </w:rPr>
      <w:t>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1F7" w:rsidRDefault="00B231F7">
      <w:pPr>
        <w:spacing w:line="240" w:lineRule="auto"/>
      </w:pPr>
      <w:r>
        <w:separator/>
      </w:r>
    </w:p>
  </w:footnote>
  <w:footnote w:type="continuationSeparator" w:id="0">
    <w:p w:rsidR="00B231F7" w:rsidRDefault="00B231F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813"/>
    <w:multiLevelType w:val="multilevel"/>
    <w:tmpl w:val="327E9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4838BB"/>
    <w:multiLevelType w:val="multilevel"/>
    <w:tmpl w:val="3320B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772979"/>
    <w:multiLevelType w:val="multilevel"/>
    <w:tmpl w:val="8466E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FF80BC4"/>
    <w:multiLevelType w:val="multilevel"/>
    <w:tmpl w:val="359AE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7518E4"/>
    <w:multiLevelType w:val="multilevel"/>
    <w:tmpl w:val="2B108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9636CE"/>
    <w:multiLevelType w:val="multilevel"/>
    <w:tmpl w:val="8460C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D0C1835"/>
    <w:multiLevelType w:val="multilevel"/>
    <w:tmpl w:val="E3C22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FB16FB6"/>
    <w:multiLevelType w:val="multilevel"/>
    <w:tmpl w:val="E1D66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33E2E95"/>
    <w:multiLevelType w:val="multilevel"/>
    <w:tmpl w:val="72EEA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2"/>
  </w:num>
  <w:num w:numId="4">
    <w:abstractNumId w:val="6"/>
  </w:num>
  <w:num w:numId="5">
    <w:abstractNumId w:val="4"/>
  </w:num>
  <w:num w:numId="6">
    <w:abstractNumId w:val="7"/>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A0"/>
    <w:rsid w:val="00082E33"/>
    <w:rsid w:val="000C003A"/>
    <w:rsid w:val="001B483B"/>
    <w:rsid w:val="002141A5"/>
    <w:rsid w:val="003F2E2F"/>
    <w:rsid w:val="00460C4B"/>
    <w:rsid w:val="006B24C5"/>
    <w:rsid w:val="00886F6A"/>
    <w:rsid w:val="00B231F7"/>
    <w:rsid w:val="00B53064"/>
    <w:rsid w:val="00D24995"/>
    <w:rsid w:val="00EB27A0"/>
    <w:rsid w:val="00EE635F"/>
    <w:rsid w:val="00F06AA6"/>
    <w:rsid w:val="00F81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438BE-3F9F-4569-BC16-9CE221EB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Pr>
    <w:rPr>
      <w:rFonts w:ascii="Trebuchet MS" w:eastAsia="Trebuchet MS" w:hAnsi="Trebuchet MS" w:cs="Trebuchet MS"/>
      <w:sz w:val="42"/>
      <w:szCs w:val="42"/>
    </w:rPr>
  </w:style>
  <w:style w:type="paragraph" w:styleId="Podtitul">
    <w:name w:val="Subtitle"/>
    <w:basedOn w:val="Normln"/>
    <w:next w:val="Normln"/>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2141A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4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8551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Kudrnová</dc:creator>
  <cp:lastModifiedBy>JKudrnova</cp:lastModifiedBy>
  <cp:revision>2</cp:revision>
  <cp:lastPrinted>2018-05-29T10:44:00Z</cp:lastPrinted>
  <dcterms:created xsi:type="dcterms:W3CDTF">2018-06-15T11:04:00Z</dcterms:created>
  <dcterms:modified xsi:type="dcterms:W3CDTF">2018-06-15T11:04:00Z</dcterms:modified>
</cp:coreProperties>
</file>