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5" w:rsidRPr="00696B82" w:rsidRDefault="001033E5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1033E5" w:rsidRPr="00696B82" w:rsidRDefault="001033E5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Amper</w:t>
      </w:r>
      <w:proofErr w:type="spellEnd"/>
      <w:r>
        <w:rPr>
          <w:rFonts w:asciiTheme="minorHAnsi" w:hAnsiTheme="minorHAnsi" w:cstheme="minorHAnsi"/>
          <w:lang w:val="en-GB"/>
        </w:rPr>
        <w:t xml:space="preserve"> Market,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Antala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Staška</w:t>
      </w:r>
      <w:proofErr w:type="spellEnd"/>
      <w:r>
        <w:rPr>
          <w:rFonts w:asciiTheme="minorHAnsi" w:hAnsiTheme="minorHAnsi" w:cstheme="minorHAnsi"/>
          <w:lang w:val="en-GB"/>
        </w:rPr>
        <w:t xml:space="preserve"> 1076/33a, </w:t>
      </w:r>
      <w:proofErr w:type="spellStart"/>
      <w:r>
        <w:rPr>
          <w:rFonts w:asciiTheme="minorHAnsi" w:hAnsiTheme="minorHAnsi" w:cstheme="minorHAnsi"/>
          <w:lang w:val="en-GB"/>
        </w:rPr>
        <w:t>Krč</w:t>
      </w:r>
      <w:proofErr w:type="spellEnd"/>
      <w:r>
        <w:rPr>
          <w:rFonts w:asciiTheme="minorHAnsi" w:hAnsiTheme="minorHAnsi" w:cstheme="minorHAnsi"/>
          <w:lang w:val="en-GB"/>
        </w:rPr>
        <w:t>, 140 00  Praha 4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24128376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CZ24128376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Městský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soud</w:t>
      </w:r>
      <w:proofErr w:type="spellEnd"/>
      <w:r>
        <w:rPr>
          <w:rFonts w:asciiTheme="minorHAnsi" w:hAnsiTheme="minorHAnsi" w:cstheme="minorHAnsi"/>
          <w:lang w:val="en-GB"/>
        </w:rPr>
        <w:t xml:space="preserve"> v </w:t>
      </w:r>
      <w:proofErr w:type="spellStart"/>
      <w:r>
        <w:rPr>
          <w:rFonts w:asciiTheme="minorHAnsi" w:hAnsiTheme="minorHAnsi" w:cstheme="minorHAnsi"/>
          <w:lang w:val="en-GB"/>
        </w:rPr>
        <w:t>Praze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oddíl</w:t>
      </w:r>
      <w:proofErr w:type="spellEnd"/>
      <w:r>
        <w:rPr>
          <w:rFonts w:asciiTheme="minorHAnsi" w:hAnsiTheme="minorHAnsi" w:cstheme="minorHAnsi"/>
          <w:lang w:val="en-GB"/>
        </w:rPr>
        <w:t xml:space="preserve"> B, </w:t>
      </w:r>
      <w:proofErr w:type="spellStart"/>
      <w:r>
        <w:rPr>
          <w:rFonts w:asciiTheme="minorHAnsi" w:hAnsiTheme="minorHAnsi" w:cstheme="minorHAnsi"/>
          <w:lang w:val="en-GB"/>
        </w:rPr>
        <w:t>vložka</w:t>
      </w:r>
      <w:proofErr w:type="spellEnd"/>
      <w:r>
        <w:rPr>
          <w:rFonts w:asciiTheme="minorHAnsi" w:hAnsiTheme="minorHAnsi" w:cstheme="minorHAnsi"/>
          <w:lang w:val="en-GB"/>
        </w:rPr>
        <w:t xml:space="preserve"> 17267</w:t>
      </w:r>
      <w:r w:rsidRPr="00696B82">
        <w:rPr>
          <w:rFonts w:asciiTheme="minorHAnsi" w:hAnsiTheme="minorHAnsi" w:cstheme="minorHAnsi"/>
        </w:rPr>
        <w:t xml:space="preserve"> 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141118584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5810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Raiffeisenbank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5050013734/5500</w:t>
      </w:r>
    </w:p>
    <w:p w:rsidR="001033E5" w:rsidRPr="00FC7DBC" w:rsidRDefault="001033E5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Pr="007218A4">
        <w:rPr>
          <w:rFonts w:asciiTheme="minorHAnsi" w:hAnsiTheme="minorHAnsi" w:cstheme="minorHAnsi"/>
          <w:lang w:val="en-GB"/>
        </w:rPr>
        <w:t>7ry3v4w</w:t>
      </w:r>
    </w:p>
    <w:p w:rsidR="001033E5" w:rsidRPr="00696B82" w:rsidRDefault="001033E5" w:rsidP="00A953A7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A953A7">
        <w:rPr>
          <w:rFonts w:asciiTheme="minorHAnsi" w:hAnsiTheme="minorHAnsi" w:cstheme="minorHAnsi"/>
        </w:rPr>
        <w:t xml:space="preserve">Ing. Janem </w:t>
      </w:r>
      <w:proofErr w:type="spellStart"/>
      <w:r w:rsidRPr="00A953A7">
        <w:rPr>
          <w:rFonts w:asciiTheme="minorHAnsi" w:hAnsiTheme="minorHAnsi" w:cstheme="minorHAnsi"/>
        </w:rPr>
        <w:t>Palaščákem</w:t>
      </w:r>
      <w:proofErr w:type="spellEnd"/>
      <w:r w:rsidRPr="00A953A7">
        <w:rPr>
          <w:rFonts w:asciiTheme="minorHAnsi" w:hAnsiTheme="minorHAnsi" w:cstheme="minorHAnsi"/>
        </w:rPr>
        <w:t>, předsedou představenstva nebo Ing.</w:t>
      </w:r>
      <w:r>
        <w:rPr>
          <w:rFonts w:asciiTheme="minorHAnsi" w:hAnsiTheme="minorHAnsi" w:cstheme="minorHAnsi"/>
        </w:rPr>
        <w:t> </w:t>
      </w:r>
      <w:r w:rsidRPr="00A953A7">
        <w:rPr>
          <w:rFonts w:asciiTheme="minorHAnsi" w:hAnsiTheme="minorHAnsi" w:cstheme="minorHAnsi"/>
        </w:rPr>
        <w:t xml:space="preserve">Viliamem </w:t>
      </w:r>
      <w:proofErr w:type="spellStart"/>
      <w:r w:rsidRPr="00A953A7">
        <w:rPr>
          <w:rFonts w:asciiTheme="minorHAnsi" w:hAnsiTheme="minorHAnsi" w:cstheme="minorHAnsi"/>
        </w:rPr>
        <w:t>Gráczem</w:t>
      </w:r>
      <w:proofErr w:type="spellEnd"/>
      <w:r w:rsidRPr="00A953A7">
        <w:rPr>
          <w:rFonts w:asciiTheme="minorHAnsi" w:hAnsiTheme="minorHAnsi" w:cstheme="minorHAnsi"/>
        </w:rPr>
        <w:t>, místopředsedou představenstva</w:t>
      </w:r>
    </w:p>
    <w:p w:rsidR="001033E5" w:rsidRPr="00696B82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1033E5" w:rsidRPr="00696B82" w:rsidRDefault="001033E5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1033E5" w:rsidRPr="00696B82" w:rsidRDefault="001033E5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Ostravské muzeum, příspěvková organizace</w:t>
      </w:r>
    </w:p>
    <w:p w:rsidR="001033E5" w:rsidRPr="00696B82" w:rsidRDefault="001033E5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Masarykovo náměstí 1/1, 728 41, Ostrava - Moravská Ostrava</w:t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00097594</w:t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CZ00097594</w:t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Komerční banka, a.s.</w:t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7332761/0100</w:t>
      </w:r>
    </w:p>
    <w:p w:rsidR="001033E5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RNDr. Jiřina Kábrtová</w:t>
      </w:r>
    </w:p>
    <w:p w:rsidR="001033E5" w:rsidRPr="00696B82" w:rsidRDefault="001033E5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1033E5" w:rsidRPr="00696B82" w:rsidRDefault="001033E5">
      <w:pPr>
        <w:rPr>
          <w:rFonts w:asciiTheme="minorHAnsi" w:hAnsiTheme="minorHAnsi" w:cstheme="minorHAnsi"/>
        </w:rPr>
      </w:pPr>
    </w:p>
    <w:p w:rsidR="001033E5" w:rsidRPr="00696B82" w:rsidRDefault="001033E5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1033E5" w:rsidRDefault="001033E5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1033E5" w:rsidRDefault="00103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033E5" w:rsidRPr="00696B82" w:rsidRDefault="001033E5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1033E5" w:rsidRPr="00696B82" w:rsidRDefault="001033E5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 a zákona č. 89/2012 Občanský zákoník, v platném zněni, v režimu přeneseni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1033E5" w:rsidRPr="00696B82" w:rsidRDefault="001033E5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1033E5" w:rsidRPr="00696B82" w:rsidRDefault="001033E5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1033E5" w:rsidRPr="00696B82" w:rsidRDefault="001033E5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1033E5" w:rsidRPr="00696B82" w:rsidRDefault="001033E5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uhradit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1033E5" w:rsidRPr="00696B82" w:rsidRDefault="001033E5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1033E5" w:rsidRPr="00696B82" w:rsidRDefault="001033E5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1033E5" w:rsidRPr="00696B82" w:rsidRDefault="001033E5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1033E5" w:rsidRPr="00696B82" w:rsidRDefault="001033E5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1033E5" w:rsidRPr="00696B82" w:rsidRDefault="001033E5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</w:p>
    <w:p w:rsidR="001033E5" w:rsidRPr="00696B82" w:rsidRDefault="001033E5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 a zavazuje se, zajistit v souladu s platnou právní úpravou připojení OM specifikovaných v předchozím odstavci k distribuční soustavě příslušného PDS.</w:t>
      </w:r>
    </w:p>
    <w:p w:rsidR="001033E5" w:rsidRDefault="001033E5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1033E5" w:rsidRPr="00696B82" w:rsidRDefault="001033E5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1033E5" w:rsidRPr="00696B82" w:rsidRDefault="001033E5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1033E5" w:rsidRPr="00696B82" w:rsidRDefault="001033E5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</w:t>
      </w:r>
      <w:r w:rsidRPr="00F2127D">
        <w:rPr>
          <w:rFonts w:asciiTheme="minorHAnsi" w:hAnsiTheme="minorHAnsi" w:cstheme="minorHAnsi"/>
        </w:rPr>
        <w:t>dodávky:</w:t>
      </w:r>
      <w:r w:rsidRPr="00F2127D">
        <w:rPr>
          <w:rFonts w:asciiTheme="minorHAnsi" w:hAnsiTheme="minorHAnsi" w:cstheme="minorHAnsi"/>
          <w:b/>
        </w:rPr>
        <w:t xml:space="preserve"> 15.</w:t>
      </w:r>
      <w:r>
        <w:rPr>
          <w:rFonts w:asciiTheme="minorHAnsi" w:hAnsiTheme="minorHAnsi" w:cstheme="minorHAnsi"/>
          <w:b/>
        </w:rPr>
        <w:t xml:space="preserve"> </w:t>
      </w:r>
      <w:r w:rsidRPr="00F2127D">
        <w:rPr>
          <w:rFonts w:asciiTheme="minorHAnsi" w:hAnsiTheme="minorHAnsi" w:cstheme="minorHAnsi"/>
          <w:b/>
        </w:rPr>
        <w:t xml:space="preserve">6. </w:t>
      </w:r>
      <w:r w:rsidRPr="00696B82">
        <w:rPr>
          <w:rFonts w:asciiTheme="minorHAnsi" w:hAnsiTheme="minorHAnsi" w:cstheme="minorHAnsi"/>
          <w:b/>
        </w:rPr>
        <w:t>2018 0:00 hod</w:t>
      </w:r>
      <w:r w:rsidRPr="00696B82">
        <w:rPr>
          <w:rFonts w:asciiTheme="minorHAnsi" w:hAnsiTheme="minorHAnsi" w:cstheme="minorHAnsi"/>
        </w:rPr>
        <w:t>.</w:t>
      </w:r>
    </w:p>
    <w:p w:rsidR="001033E5" w:rsidRPr="00696B82" w:rsidRDefault="001033E5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 24:00 hod.</w:t>
      </w:r>
    </w:p>
    <w:p w:rsidR="001033E5" w:rsidRPr="00696B82" w:rsidRDefault="001033E5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1033E5" w:rsidRPr="00696B82" w:rsidRDefault="001033E5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1033E5" w:rsidRPr="00696B82" w:rsidRDefault="001033E5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 </w:t>
      </w:r>
      <w:r>
        <w:rPr>
          <w:rFonts w:asciiTheme="minorHAnsi" w:eastAsia="Arial Unicode MS" w:hAnsiTheme="minorHAnsi" w:cstheme="minorHAnsi"/>
        </w:rPr>
        <w:t xml:space="preserve">uvedené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>
        <w:rPr>
          <w:rFonts w:asciiTheme="minorHAnsi" w:eastAsia="Arial Unicode MS" w:hAnsiTheme="minorHAnsi" w:cstheme="minorHAnsi"/>
        </w:rPr>
        <w:t xml:space="preserve">této </w:t>
      </w:r>
      <w:r w:rsidRPr="00CB4863">
        <w:rPr>
          <w:rFonts w:asciiTheme="minorHAnsi" w:eastAsia="Arial Unicode MS" w:hAnsiTheme="minorHAnsi" w:cstheme="minorHAnsi"/>
          <w:b/>
        </w:rPr>
        <w:t>Smlouvy</w:t>
      </w:r>
      <w:r>
        <w:rPr>
          <w:rFonts w:asciiTheme="minorHAnsi" w:eastAsia="Arial Unicode MS" w:hAnsiTheme="minorHAnsi" w:cstheme="minorHAnsi"/>
          <w:b/>
        </w:rPr>
        <w:t>.</w:t>
      </w:r>
    </w:p>
    <w:p w:rsidR="001033E5" w:rsidRPr="00696B82" w:rsidRDefault="001033E5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přirážkám.</w:t>
      </w:r>
    </w:p>
    <w:p w:rsidR="001033E5" w:rsidRPr="00696B82" w:rsidRDefault="001033E5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1033E5" w:rsidRPr="00696B82" w:rsidRDefault="001033E5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1033E5" w:rsidRPr="00696B82" w:rsidRDefault="001033E5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1033E5" w:rsidRPr="00696B82" w:rsidRDefault="001033E5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1033E5" w:rsidRDefault="001033E5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1033E5" w:rsidRPr="003B3851" w:rsidRDefault="001033E5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033E5" w:rsidRDefault="001033E5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033E5" w:rsidRDefault="001033E5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033E5" w:rsidRDefault="001033E5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033E5" w:rsidRPr="003B3851" w:rsidRDefault="001033E5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033E5" w:rsidRPr="00696B82" w:rsidRDefault="001033E5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1033E5" w:rsidRPr="00696B82" w:rsidRDefault="001033E5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F2127D">
        <w:rPr>
          <w:rFonts w:asciiTheme="minorHAnsi" w:hAnsiTheme="minorHAnsi" w:cstheme="minorHAnsi"/>
          <w:b/>
        </w:rPr>
        <w:t xml:space="preserve">15. 6. </w:t>
      </w:r>
      <w:r w:rsidRPr="00696B82">
        <w:rPr>
          <w:rFonts w:asciiTheme="minorHAnsi" w:hAnsiTheme="minorHAnsi" w:cstheme="minorHAnsi"/>
          <w:b/>
        </w:rPr>
        <w:t xml:space="preserve">2018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</w:t>
      </w:r>
      <w:r>
        <w:rPr>
          <w:rFonts w:asciiTheme="minorHAnsi" w:hAnsiTheme="minorHAnsi" w:cstheme="minorHAnsi"/>
          <w:b/>
        </w:rPr>
        <w:t xml:space="preserve"> 24:00</w:t>
      </w:r>
      <w:r w:rsidRPr="00696B82">
        <w:rPr>
          <w:rFonts w:asciiTheme="minorHAnsi" w:hAnsiTheme="minorHAnsi" w:cstheme="minorHAnsi"/>
        </w:rPr>
        <w:t>.</w:t>
      </w:r>
    </w:p>
    <w:p w:rsidR="001033E5" w:rsidRPr="00696B82" w:rsidRDefault="001033E5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:rsidR="001033E5" w:rsidRPr="00696B82" w:rsidRDefault="001033E5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1033E5" w:rsidRPr="00696B82" w:rsidRDefault="001033E5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Také určují doručovací adresy pro vzájemnou komunikaci;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Smlouvy,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696B82">
        <w:rPr>
          <w:rFonts w:asciiTheme="minorHAnsi" w:hAnsiTheme="minorHAnsi" w:cstheme="minorHAnsi"/>
          <w:b/>
        </w:rPr>
        <w:t>Smlouv</w:t>
      </w:r>
      <w:r w:rsidRPr="0021270D">
        <w:rPr>
          <w:rFonts w:asciiTheme="minorHAnsi" w:hAnsiTheme="minorHAnsi" w:cstheme="minorHAnsi"/>
          <w:b/>
        </w:rPr>
        <w:t xml:space="preserve">ě </w:t>
      </w:r>
      <w:r w:rsidRPr="00696B82">
        <w:rPr>
          <w:rFonts w:asciiTheme="minorHAnsi" w:hAnsiTheme="minorHAnsi" w:cstheme="minorHAnsi"/>
        </w:rPr>
        <w:t>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smluvní strany.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1033E5" w:rsidRPr="00706287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1033E5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 w:rsidR="001033E5" w:rsidRPr="00696B82" w:rsidRDefault="001033E5" w:rsidP="00F31183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1033E5" w:rsidRPr="00696B82" w:rsidRDefault="001033E5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poskytne po skončení této smlouvy </w:t>
      </w:r>
      <w:r w:rsidRPr="00696B82">
        <w:rPr>
          <w:rFonts w:asciiTheme="minorHAnsi" w:hAnsiTheme="minorHAnsi" w:cstheme="minorHAnsi"/>
          <w:b/>
        </w:rPr>
        <w:t>Zákazníkov</w:t>
      </w:r>
      <w:r w:rsidRPr="00696B82">
        <w:rPr>
          <w:rFonts w:asciiTheme="minorHAnsi" w:hAnsiTheme="minorHAnsi" w:cstheme="minorHAnsi"/>
        </w:rPr>
        <w:t>i na základě jeho písemného požadavku soubor dat v elektronické podobě, obsahující kompletní údaje o realizované dodávce elektřiny v rozsahu fakturačních dokladů za celé období dodávky.</w:t>
      </w:r>
    </w:p>
    <w:p w:rsidR="001033E5" w:rsidRDefault="001033E5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1033E5" w:rsidRDefault="001033E5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1033E5" w:rsidRPr="00696B82" w:rsidRDefault="001033E5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033E5" w:rsidRPr="00696B82" w:rsidRDefault="001033E5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1033E5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28. 5. 2018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 xml:space="preserve">V Ostravě dne: </w:t>
      </w:r>
      <w:r w:rsidR="0095735A">
        <w:rPr>
          <w:rFonts w:asciiTheme="minorHAnsi" w:hAnsiTheme="minorHAnsi" w:cstheme="minorHAnsi"/>
        </w:rPr>
        <w:t>7. 6. 2018</w:t>
      </w:r>
    </w:p>
    <w:p w:rsidR="001033E5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0" w:name="_GoBack"/>
      <w:bookmarkEnd w:id="0"/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.................................................</w:t>
      </w:r>
    </w:p>
    <w:p w:rsidR="001033E5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highlight w:val="lightGray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696B82">
        <w:rPr>
          <w:rFonts w:asciiTheme="minorHAnsi" w:hAnsiTheme="minorHAnsi" w:cstheme="minorHAnsi"/>
          <w:lang w:val="en-GB"/>
        </w:rPr>
        <w:tab/>
      </w:r>
      <w:r w:rsidRPr="00AB710E">
        <w:rPr>
          <w:rFonts w:asciiTheme="minorHAnsi" w:hAnsiTheme="minorHAnsi" w:cstheme="minorHAnsi"/>
          <w:noProof/>
          <w:lang w:val="en-GB"/>
        </w:rPr>
        <w:t>RNDr. Jiřina Kábrtová</w:t>
      </w:r>
    </w:p>
    <w:p w:rsidR="001033E5" w:rsidRPr="00696B82" w:rsidRDefault="001033E5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033E5" w:rsidRDefault="001033E5" w:rsidP="00B91E1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  <w:sectPr w:rsidR="001033E5" w:rsidSect="001033E5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:rsidR="001033E5" w:rsidRPr="00696B82" w:rsidRDefault="001033E5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033E5" w:rsidRPr="00696B82" w:rsidRDefault="001033E5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033E5" w:rsidRPr="00696B82" w:rsidRDefault="001033E5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033E5" w:rsidRPr="00696B82" w:rsidRDefault="001033E5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1033E5" w:rsidRPr="00696B82" w:rsidRDefault="001033E5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1033E5" w:rsidRPr="00696B82" w:rsidSect="00A73FB1">
          <w:headerReference w:type="default" r:id="rId10"/>
          <w:footerReference w:type="default" r:id="rId11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033E5" w:rsidRPr="00696B82" w:rsidRDefault="001033E5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1033E5" w:rsidRPr="00696B82" w:rsidRDefault="001033E5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1033E5" w:rsidRPr="00696B82" w:rsidTr="00A6360D">
        <w:tc>
          <w:tcPr>
            <w:tcW w:w="1180" w:type="pct"/>
            <w:vMerge w:val="restar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1033E5" w:rsidRPr="00696B82" w:rsidTr="00A6360D">
        <w:tc>
          <w:tcPr>
            <w:tcW w:w="1180" w:type="pct"/>
            <w:vMerge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1033E5" w:rsidRPr="00696B82" w:rsidTr="00A6360D">
        <w:tc>
          <w:tcPr>
            <w:tcW w:w="1180" w:type="pct"/>
            <w:vMerge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1033E5" w:rsidRPr="00696B82" w:rsidRDefault="001033E5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1 235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1 060</w:t>
            </w: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45d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1 255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1 045</w:t>
            </w: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1 265</w:t>
            </w:r>
          </w:p>
        </w:tc>
        <w:tc>
          <w:tcPr>
            <w:tcW w:w="1269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1 050</w:t>
            </w: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7B056F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890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A6360D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033E5" w:rsidRPr="00696B82" w:rsidTr="007B056F">
        <w:tc>
          <w:tcPr>
            <w:tcW w:w="1180" w:type="pct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1033E5" w:rsidRPr="00901C1D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01C1D"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1033E5" w:rsidRPr="00696B82" w:rsidRDefault="001033E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1033E5" w:rsidRPr="00696B82" w:rsidSect="00383CED">
          <w:headerReference w:type="default" r:id="rId12"/>
          <w:footerReference w:type="defaul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033E5" w:rsidRDefault="001033E5">
      <w:pPr>
        <w:rPr>
          <w:rFonts w:asciiTheme="minorHAnsi" w:eastAsia="Arial Unicode MS" w:hAnsiTheme="minorHAnsi" w:cstheme="minorHAnsi"/>
          <w:b/>
          <w:sz w:val="32"/>
          <w:szCs w:val="32"/>
        </w:rPr>
        <w:sectPr w:rsidR="001033E5" w:rsidSect="00383CED">
          <w:headerReference w:type="default" r:id="rId14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r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br w:type="page"/>
      </w: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1033E5" w:rsidRPr="00696B82" w:rsidRDefault="001033E5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1033E5" w:rsidRPr="00696B82" w:rsidRDefault="001033E5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1033E5" w:rsidRPr="00696B82" w:rsidRDefault="001033E5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Ing. Karel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Plzák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>, MBA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Mgr.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Blanka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Rejchrtová</w:t>
            </w:r>
            <w:proofErr w:type="spellEnd"/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plzak@ampermarket.cz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rejchrtova@ampermarket.cz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734 150 310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234  7</w:t>
            </w:r>
            <w:r w:rsidRPr="00553B3A">
              <w:rPr>
                <w:rFonts w:asciiTheme="minorHAnsi" w:hAnsiTheme="minorHAnsi" w:cstheme="minorHAnsi"/>
                <w:lang w:val="en-GB"/>
              </w:rPr>
              <w:t>01 411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</w:tbl>
    <w:p w:rsidR="001033E5" w:rsidRPr="00696B82" w:rsidRDefault="001033E5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Jitka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Kudrnovská</w:t>
            </w:r>
            <w:proofErr w:type="spellEnd"/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Petr Pospíšil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</w:tbl>
    <w:p w:rsidR="001033E5" w:rsidRPr="00696B82" w:rsidRDefault="001033E5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Andrea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Zezuláková</w:t>
            </w:r>
            <w:proofErr w:type="spellEnd"/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Karolína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Tesařová</w:t>
            </w:r>
            <w:proofErr w:type="spellEnd"/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553B3A" w:rsidRDefault="001033E5" w:rsidP="00553B3A">
            <w:pPr>
              <w:pStyle w:val="Zkladntext2"/>
              <w:tabs>
                <w:tab w:val="center" w:pos="163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tabs>
                <w:tab w:val="right" w:pos="298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1033E5" w:rsidRPr="00553B3A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553B3A" w:rsidRDefault="001033E5" w:rsidP="00553B3A">
            <w:pPr>
              <w:pStyle w:val="Zkladntext2"/>
              <w:tabs>
                <w:tab w:val="left" w:pos="226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:rsidR="001033E5" w:rsidRDefault="001033E5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033E5" w:rsidRDefault="001033E5">
      <w:pPr>
        <w:rPr>
          <w:rFonts w:asciiTheme="minorHAnsi" w:hAnsiTheme="minorHAnsi" w:cstheme="minorHAnsi"/>
          <w:sz w:val="18"/>
          <w:szCs w:val="14"/>
          <w:highlight w:val="cyan"/>
        </w:rPr>
      </w:pPr>
      <w:r>
        <w:rPr>
          <w:rFonts w:asciiTheme="minorHAnsi" w:hAnsiTheme="minorHAnsi" w:cstheme="minorHAnsi"/>
          <w:sz w:val="18"/>
          <w:szCs w:val="14"/>
          <w:highlight w:val="cyan"/>
        </w:rPr>
        <w:br w:type="page"/>
      </w:r>
    </w:p>
    <w:p w:rsidR="001033E5" w:rsidRPr="00696B82" w:rsidRDefault="001033E5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033E5" w:rsidRPr="00696B82" w:rsidRDefault="001033E5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033E5" w:rsidRPr="00696B82" w:rsidRDefault="001033E5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1033E5" w:rsidRPr="00696B82" w:rsidRDefault="001033E5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033E5" w:rsidRPr="00846F16" w:rsidRDefault="001033E5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RNDr. Jiřina Kábrtová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Masarykovo náměstí 1/1, 728 41, Ostrava - Moravská Ostrava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jirina.kabrtova@ostrmuz.cz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596114449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033E5" w:rsidRPr="00696B82" w:rsidRDefault="001033E5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RNDr. Jiřina Kábrtová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Masarykovo náměstí 1/1, 728 41, Ostrava - Moravská Ostrava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jirina.kabrtova@ostrmuz.cz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596114449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033E5" w:rsidRPr="00696B82" w:rsidRDefault="001033E5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033E5" w:rsidRPr="00696B82" w:rsidTr="0021270D">
        <w:tc>
          <w:tcPr>
            <w:tcW w:w="8513" w:type="dxa"/>
            <w:gridSpan w:val="4"/>
          </w:tcPr>
          <w:p w:rsidR="001033E5" w:rsidRPr="00696B82" w:rsidRDefault="001033E5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RNDr. Jiřina Kábrtová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jirina.kabrtova@ostrmuz.cz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596114449</w:t>
            </w: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033E5" w:rsidRPr="00696B82" w:rsidTr="0021270D"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033E5" w:rsidRPr="00696B82" w:rsidRDefault="001033E5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033E5" w:rsidRPr="00696B82" w:rsidRDefault="001033E5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1033E5" w:rsidRPr="00696B82" w:rsidRDefault="001033E5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033E5" w:rsidRPr="00696B82" w:rsidRDefault="001033E5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033E5" w:rsidRDefault="001033E5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1033E5" w:rsidSect="008A295A">
          <w:headerReference w:type="default" r:id="rId15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033E5" w:rsidRPr="00696B82" w:rsidRDefault="001033E5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1033E5" w:rsidRPr="00696B82" w:rsidSect="001033E5">
      <w:headerReference w:type="default" r:id="rId16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9A" w:rsidRDefault="0090269A" w:rsidP="005349E5">
      <w:r>
        <w:separator/>
      </w:r>
    </w:p>
  </w:endnote>
  <w:endnote w:type="continuationSeparator" w:id="0">
    <w:p w:rsidR="0090269A" w:rsidRDefault="0090269A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Default="001033E5">
    <w:pPr>
      <w:pStyle w:val="Zpat"/>
      <w:jc w:val="center"/>
    </w:pPr>
    <w:r w:rsidRPr="000145FF">
      <w:t xml:space="preserve">Stránka </w:t>
    </w:r>
    <w:sdt>
      <w:sdtPr>
        <w:id w:val="165685290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95735A">
          <w:rPr>
            <w:noProof/>
          </w:rPr>
          <w:t>5</w:t>
        </w:r>
        <w:r w:rsidRPr="000145FF">
          <w:fldChar w:fldCharType="end"/>
        </w:r>
        <w:r w:rsidRPr="000145FF">
          <w:t xml:space="preserve"> z 5</w:t>
        </w:r>
      </w:sdtContent>
    </w:sdt>
  </w:p>
  <w:p w:rsidR="001033E5" w:rsidRDefault="001033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Pr="00A73FB1" w:rsidRDefault="001033E5" w:rsidP="00A73F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Default="001033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9A" w:rsidRDefault="0090269A" w:rsidP="005349E5">
      <w:r>
        <w:separator/>
      </w:r>
    </w:p>
  </w:footnote>
  <w:footnote w:type="continuationSeparator" w:id="0">
    <w:p w:rsidR="0090269A" w:rsidRDefault="0090269A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Default="001033E5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033E5" w:rsidRPr="005349E5" w:rsidRDefault="001033E5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Pr="00A73FB1" w:rsidRDefault="001033E5" w:rsidP="00A73F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Default="001033E5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033E5" w:rsidRPr="005349E5" w:rsidRDefault="001033E5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Pr="00A73FB1" w:rsidRDefault="001033E5" w:rsidP="00A73FB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5" w:rsidRDefault="001033E5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033E5" w:rsidRPr="005349E5" w:rsidRDefault="001033E5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0C" w:rsidRDefault="00B1630C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B1630C" w:rsidRPr="005349E5" w:rsidRDefault="00B1630C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712B3"/>
    <w:rsid w:val="000842A5"/>
    <w:rsid w:val="000A3C75"/>
    <w:rsid w:val="000B17EB"/>
    <w:rsid w:val="000B4ABE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33E5"/>
    <w:rsid w:val="0010535B"/>
    <w:rsid w:val="00105B9F"/>
    <w:rsid w:val="001117DE"/>
    <w:rsid w:val="00114A97"/>
    <w:rsid w:val="001255AB"/>
    <w:rsid w:val="0013231C"/>
    <w:rsid w:val="0014557E"/>
    <w:rsid w:val="001503D9"/>
    <w:rsid w:val="00150B59"/>
    <w:rsid w:val="00164221"/>
    <w:rsid w:val="00175351"/>
    <w:rsid w:val="0018480F"/>
    <w:rsid w:val="00196C98"/>
    <w:rsid w:val="001A39F0"/>
    <w:rsid w:val="001E2022"/>
    <w:rsid w:val="001F3AF6"/>
    <w:rsid w:val="001F4C37"/>
    <w:rsid w:val="00200154"/>
    <w:rsid w:val="00210413"/>
    <w:rsid w:val="00210AEB"/>
    <w:rsid w:val="0021270D"/>
    <w:rsid w:val="002342B8"/>
    <w:rsid w:val="00255D7F"/>
    <w:rsid w:val="002A2015"/>
    <w:rsid w:val="002A4467"/>
    <w:rsid w:val="002A79C8"/>
    <w:rsid w:val="002B5CD0"/>
    <w:rsid w:val="002C33EC"/>
    <w:rsid w:val="002D46D1"/>
    <w:rsid w:val="002D7137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36C"/>
    <w:rsid w:val="00404087"/>
    <w:rsid w:val="00413AA2"/>
    <w:rsid w:val="0042062E"/>
    <w:rsid w:val="00453C95"/>
    <w:rsid w:val="00454FF5"/>
    <w:rsid w:val="00454FFB"/>
    <w:rsid w:val="00455F7A"/>
    <w:rsid w:val="004673E9"/>
    <w:rsid w:val="004708DF"/>
    <w:rsid w:val="00475550"/>
    <w:rsid w:val="00495ABE"/>
    <w:rsid w:val="004A48E0"/>
    <w:rsid w:val="004A53ED"/>
    <w:rsid w:val="004C1AFF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349E5"/>
    <w:rsid w:val="00553B3A"/>
    <w:rsid w:val="005665DB"/>
    <w:rsid w:val="00567606"/>
    <w:rsid w:val="00576336"/>
    <w:rsid w:val="00580672"/>
    <w:rsid w:val="00583DB7"/>
    <w:rsid w:val="005843D0"/>
    <w:rsid w:val="005873DF"/>
    <w:rsid w:val="00590E76"/>
    <w:rsid w:val="00592C83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566D"/>
    <w:rsid w:val="00696B82"/>
    <w:rsid w:val="006A39C9"/>
    <w:rsid w:val="006B1B37"/>
    <w:rsid w:val="006C4425"/>
    <w:rsid w:val="006D5D28"/>
    <w:rsid w:val="006F7047"/>
    <w:rsid w:val="00706287"/>
    <w:rsid w:val="007170E1"/>
    <w:rsid w:val="007218A4"/>
    <w:rsid w:val="00725123"/>
    <w:rsid w:val="00725B4E"/>
    <w:rsid w:val="0074183B"/>
    <w:rsid w:val="00746A3C"/>
    <w:rsid w:val="00767F7E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D2026"/>
    <w:rsid w:val="007E1742"/>
    <w:rsid w:val="007F2A95"/>
    <w:rsid w:val="00812231"/>
    <w:rsid w:val="00820118"/>
    <w:rsid w:val="00824123"/>
    <w:rsid w:val="008352B2"/>
    <w:rsid w:val="008430FF"/>
    <w:rsid w:val="00846F16"/>
    <w:rsid w:val="008542AE"/>
    <w:rsid w:val="008603E3"/>
    <w:rsid w:val="00865D8F"/>
    <w:rsid w:val="00866401"/>
    <w:rsid w:val="00883164"/>
    <w:rsid w:val="008877E6"/>
    <w:rsid w:val="008A295A"/>
    <w:rsid w:val="008B258F"/>
    <w:rsid w:val="008B333C"/>
    <w:rsid w:val="008D7EF2"/>
    <w:rsid w:val="00901C1D"/>
    <w:rsid w:val="0090269A"/>
    <w:rsid w:val="009048C7"/>
    <w:rsid w:val="009131B6"/>
    <w:rsid w:val="0092318A"/>
    <w:rsid w:val="00937916"/>
    <w:rsid w:val="0095735A"/>
    <w:rsid w:val="009628FA"/>
    <w:rsid w:val="00963CDE"/>
    <w:rsid w:val="00972AE7"/>
    <w:rsid w:val="0097349A"/>
    <w:rsid w:val="00992627"/>
    <w:rsid w:val="00995FC5"/>
    <w:rsid w:val="009A1E3E"/>
    <w:rsid w:val="009A2A85"/>
    <w:rsid w:val="009B5EDB"/>
    <w:rsid w:val="009D049A"/>
    <w:rsid w:val="009D0558"/>
    <w:rsid w:val="00A11714"/>
    <w:rsid w:val="00A128DE"/>
    <w:rsid w:val="00A50A93"/>
    <w:rsid w:val="00A6360D"/>
    <w:rsid w:val="00A6451E"/>
    <w:rsid w:val="00A711C0"/>
    <w:rsid w:val="00A73FB1"/>
    <w:rsid w:val="00A77EA0"/>
    <w:rsid w:val="00A84D34"/>
    <w:rsid w:val="00A94CEF"/>
    <w:rsid w:val="00A953A7"/>
    <w:rsid w:val="00AA3AA9"/>
    <w:rsid w:val="00AD6CE9"/>
    <w:rsid w:val="00AF36AA"/>
    <w:rsid w:val="00AF69F2"/>
    <w:rsid w:val="00B11BC7"/>
    <w:rsid w:val="00B12385"/>
    <w:rsid w:val="00B1630C"/>
    <w:rsid w:val="00B22F95"/>
    <w:rsid w:val="00B273BF"/>
    <w:rsid w:val="00B362E7"/>
    <w:rsid w:val="00B44C62"/>
    <w:rsid w:val="00B72A57"/>
    <w:rsid w:val="00B84D76"/>
    <w:rsid w:val="00B85513"/>
    <w:rsid w:val="00B87812"/>
    <w:rsid w:val="00B91E16"/>
    <w:rsid w:val="00BA6626"/>
    <w:rsid w:val="00BB7CD2"/>
    <w:rsid w:val="00BD2F3A"/>
    <w:rsid w:val="00BD5188"/>
    <w:rsid w:val="00BD6D17"/>
    <w:rsid w:val="00BE0A70"/>
    <w:rsid w:val="00BE32B4"/>
    <w:rsid w:val="00BE488A"/>
    <w:rsid w:val="00BE7662"/>
    <w:rsid w:val="00BF5C88"/>
    <w:rsid w:val="00C04E24"/>
    <w:rsid w:val="00C134CF"/>
    <w:rsid w:val="00C17173"/>
    <w:rsid w:val="00C323A4"/>
    <w:rsid w:val="00C40F36"/>
    <w:rsid w:val="00C60CEB"/>
    <w:rsid w:val="00C677D2"/>
    <w:rsid w:val="00C75AD5"/>
    <w:rsid w:val="00C82B64"/>
    <w:rsid w:val="00CC6974"/>
    <w:rsid w:val="00CD53D1"/>
    <w:rsid w:val="00D00B0F"/>
    <w:rsid w:val="00D14418"/>
    <w:rsid w:val="00D14E82"/>
    <w:rsid w:val="00D35D22"/>
    <w:rsid w:val="00D4491B"/>
    <w:rsid w:val="00D51609"/>
    <w:rsid w:val="00D52CC0"/>
    <w:rsid w:val="00D60B2E"/>
    <w:rsid w:val="00D7125D"/>
    <w:rsid w:val="00D773DB"/>
    <w:rsid w:val="00D941F1"/>
    <w:rsid w:val="00DA0870"/>
    <w:rsid w:val="00DB0F8C"/>
    <w:rsid w:val="00DB5F92"/>
    <w:rsid w:val="00DB73F6"/>
    <w:rsid w:val="00DC084E"/>
    <w:rsid w:val="00DC09EC"/>
    <w:rsid w:val="00DC6BD7"/>
    <w:rsid w:val="00DD102E"/>
    <w:rsid w:val="00DD375B"/>
    <w:rsid w:val="00DD395F"/>
    <w:rsid w:val="00DE72B9"/>
    <w:rsid w:val="00DF0D22"/>
    <w:rsid w:val="00DF4B26"/>
    <w:rsid w:val="00E05F73"/>
    <w:rsid w:val="00E13B21"/>
    <w:rsid w:val="00E2357F"/>
    <w:rsid w:val="00E25CC5"/>
    <w:rsid w:val="00E26C9F"/>
    <w:rsid w:val="00E27286"/>
    <w:rsid w:val="00E32C5F"/>
    <w:rsid w:val="00E34B5B"/>
    <w:rsid w:val="00E4198E"/>
    <w:rsid w:val="00E504A6"/>
    <w:rsid w:val="00E50E0C"/>
    <w:rsid w:val="00E5301B"/>
    <w:rsid w:val="00E55074"/>
    <w:rsid w:val="00E75F92"/>
    <w:rsid w:val="00E97B39"/>
    <w:rsid w:val="00EA3F71"/>
    <w:rsid w:val="00EB13FD"/>
    <w:rsid w:val="00EC04B8"/>
    <w:rsid w:val="00EC2236"/>
    <w:rsid w:val="00EE7D52"/>
    <w:rsid w:val="00EF3247"/>
    <w:rsid w:val="00EF43A4"/>
    <w:rsid w:val="00F059FB"/>
    <w:rsid w:val="00F07CE9"/>
    <w:rsid w:val="00F2127D"/>
    <w:rsid w:val="00F27128"/>
    <w:rsid w:val="00F2775F"/>
    <w:rsid w:val="00F31183"/>
    <w:rsid w:val="00F53C62"/>
    <w:rsid w:val="00F74367"/>
    <w:rsid w:val="00F83E4F"/>
    <w:rsid w:val="00F905A1"/>
    <w:rsid w:val="00F92491"/>
    <w:rsid w:val="00F93A80"/>
    <w:rsid w:val="00F958B2"/>
    <w:rsid w:val="00F963B0"/>
    <w:rsid w:val="00FA18E4"/>
    <w:rsid w:val="00FA61D3"/>
    <w:rsid w:val="00FB1C93"/>
    <w:rsid w:val="00FB35A0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Jarka</cp:lastModifiedBy>
  <cp:revision>4</cp:revision>
  <dcterms:created xsi:type="dcterms:W3CDTF">2018-06-08T11:33:00Z</dcterms:created>
  <dcterms:modified xsi:type="dcterms:W3CDTF">2018-06-14T12:28:00Z</dcterms:modified>
</cp:coreProperties>
</file>