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AA" w:rsidRDefault="00FD65AA" w:rsidP="00AF3236">
      <w:pPr>
        <w:pStyle w:val="Nadpis1"/>
        <w:spacing w:before="0" w:after="120" w:line="240" w:lineRule="auto"/>
        <w:jc w:val="center"/>
        <w:rPr>
          <w:lang w:val="cs-CZ"/>
        </w:rPr>
      </w:pPr>
      <w:bookmarkStart w:id="0" w:name="_Toc410638870"/>
      <w:bookmarkStart w:id="1" w:name="_Toc341967609"/>
      <w:bookmarkStart w:id="2" w:name="_Toc309403130"/>
      <w:bookmarkStart w:id="3" w:name="_Toc323281957"/>
      <w:bookmarkStart w:id="4" w:name="_Toc63090660"/>
      <w:r>
        <w:rPr>
          <w:lang w:val="cs-CZ"/>
        </w:rPr>
        <w:t xml:space="preserve">Dodatek č. </w:t>
      </w:r>
      <w:r w:rsidR="00DA54FA">
        <w:rPr>
          <w:lang w:val="cs-CZ"/>
        </w:rPr>
        <w:t>5</w:t>
      </w:r>
    </w:p>
    <w:p w:rsidR="009A1355" w:rsidRPr="00230229" w:rsidRDefault="00FD65AA" w:rsidP="00AF3236">
      <w:pPr>
        <w:pStyle w:val="Nadpis1"/>
        <w:spacing w:before="0" w:after="120" w:line="240" w:lineRule="auto"/>
        <w:jc w:val="center"/>
        <w:rPr>
          <w:lang w:val="cs-CZ"/>
        </w:rPr>
      </w:pPr>
      <w:r>
        <w:rPr>
          <w:lang w:val="cs-CZ"/>
        </w:rPr>
        <w:t xml:space="preserve">ke </w:t>
      </w:r>
      <w:r w:rsidR="009A1355" w:rsidRPr="00230229">
        <w:rPr>
          <w:lang w:val="cs-CZ"/>
        </w:rPr>
        <w:t>smlouv</w:t>
      </w:r>
      <w:r>
        <w:rPr>
          <w:lang w:val="cs-CZ"/>
        </w:rPr>
        <w:t>ě</w:t>
      </w:r>
      <w:r w:rsidR="009A1355" w:rsidRPr="00230229">
        <w:rPr>
          <w:lang w:val="cs-CZ"/>
        </w:rPr>
        <w:t xml:space="preserve"> o dílo</w:t>
      </w:r>
      <w:bookmarkEnd w:id="0"/>
    </w:p>
    <w:p w:rsidR="009A1355" w:rsidRPr="00230229" w:rsidRDefault="00BC5A46" w:rsidP="00AF3236">
      <w:pPr>
        <w:spacing w:before="0" w:after="120" w:line="240" w:lineRule="auto"/>
        <w:ind w:left="288"/>
        <w:jc w:val="center"/>
        <w:rPr>
          <w:szCs w:val="22"/>
          <w:lang w:val="cs-CZ"/>
        </w:rPr>
      </w:pPr>
      <w:r>
        <w:rPr>
          <w:szCs w:val="22"/>
          <w:lang w:val="cs-CZ"/>
        </w:rPr>
        <w:t xml:space="preserve">Uzavřené dne </w:t>
      </w:r>
      <w:proofErr w:type="gramStart"/>
      <w:r>
        <w:rPr>
          <w:szCs w:val="22"/>
          <w:lang w:val="cs-CZ"/>
        </w:rPr>
        <w:t>23.3.2015</w:t>
      </w:r>
      <w:proofErr w:type="gramEnd"/>
      <w:r>
        <w:rPr>
          <w:szCs w:val="22"/>
          <w:lang w:val="cs-CZ"/>
        </w:rPr>
        <w:t xml:space="preserve"> </w:t>
      </w:r>
      <w:r w:rsidR="009A1355" w:rsidRPr="00230229">
        <w:rPr>
          <w:szCs w:val="22"/>
          <w:lang w:val="cs-CZ"/>
        </w:rPr>
        <w:t>podle §2568 a násl. občanského zákoníku č. 89/2012 Sb. v platném znění</w:t>
      </w:r>
    </w:p>
    <w:p w:rsidR="009A1355" w:rsidRPr="00230229" w:rsidRDefault="009A1355" w:rsidP="00AF3236">
      <w:pPr>
        <w:pStyle w:val="Nadpis1"/>
        <w:numPr>
          <w:ilvl w:val="0"/>
          <w:numId w:val="1"/>
        </w:numPr>
        <w:tabs>
          <w:tab w:val="clear" w:pos="1440"/>
        </w:tabs>
        <w:spacing w:before="0" w:after="120" w:line="240" w:lineRule="auto"/>
        <w:ind w:left="431" w:hanging="431"/>
        <w:jc w:val="center"/>
        <w:rPr>
          <w:rFonts w:ascii="Calibri" w:eastAsia="Times New Roman" w:hAnsi="Calibri" w:cs="Vrinda"/>
          <w:sz w:val="30"/>
          <w:szCs w:val="30"/>
          <w:lang w:val="cs-CZ"/>
        </w:rPr>
      </w:pPr>
      <w:bookmarkStart w:id="5" w:name="_Toc410225829"/>
      <w:bookmarkStart w:id="6" w:name="_Toc410289128"/>
      <w:bookmarkStart w:id="7" w:name="_Toc410293131"/>
      <w:bookmarkStart w:id="8" w:name="_Toc410321877"/>
      <w:bookmarkStart w:id="9" w:name="_Toc410638871"/>
      <w:r w:rsidRPr="00230229">
        <w:rPr>
          <w:rFonts w:ascii="Calibri" w:eastAsia="Times New Roman" w:hAnsi="Calibri" w:cs="Vrinda"/>
          <w:sz w:val="30"/>
          <w:szCs w:val="30"/>
          <w:lang w:val="cs-CZ"/>
        </w:rPr>
        <w:t>SMLUVNÍ STRANY</w:t>
      </w:r>
      <w:bookmarkEnd w:id="5"/>
      <w:bookmarkEnd w:id="6"/>
      <w:bookmarkEnd w:id="7"/>
      <w:bookmarkEnd w:id="8"/>
      <w:bookmarkEnd w:id="9"/>
    </w:p>
    <w:p w:rsidR="009A1355" w:rsidRPr="00230229" w:rsidRDefault="009A1355" w:rsidP="00AF3236">
      <w:pPr>
        <w:spacing w:before="0" w:after="0" w:line="240" w:lineRule="auto"/>
        <w:rPr>
          <w:b/>
          <w:szCs w:val="22"/>
          <w:lang w:val="cs-CZ"/>
        </w:rPr>
      </w:pPr>
      <w:r w:rsidRPr="00230229">
        <w:rPr>
          <w:b/>
          <w:szCs w:val="22"/>
          <w:lang w:val="cs-CZ"/>
        </w:rPr>
        <w:t>Objednatel</w:t>
      </w:r>
    </w:p>
    <w:p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Název: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 w:rsidRPr="00230229">
        <w:rPr>
          <w:b/>
          <w:szCs w:val="22"/>
          <w:lang w:val="cs-CZ"/>
        </w:rPr>
        <w:t xml:space="preserve">Sociologický ústav AV ČR, </w:t>
      </w:r>
      <w:proofErr w:type="spellStart"/>
      <w:proofErr w:type="gramStart"/>
      <w:r w:rsidRPr="00230229">
        <w:rPr>
          <w:b/>
          <w:szCs w:val="22"/>
          <w:lang w:val="cs-CZ"/>
        </w:rPr>
        <w:t>v.v.</w:t>
      </w:r>
      <w:proofErr w:type="gramEnd"/>
      <w:r w:rsidRPr="00230229">
        <w:rPr>
          <w:b/>
          <w:szCs w:val="22"/>
          <w:lang w:val="cs-CZ"/>
        </w:rPr>
        <w:t>i</w:t>
      </w:r>
      <w:proofErr w:type="spellEnd"/>
      <w:r w:rsidRPr="00230229">
        <w:rPr>
          <w:b/>
          <w:szCs w:val="22"/>
          <w:lang w:val="cs-CZ"/>
        </w:rPr>
        <w:t>.</w:t>
      </w:r>
    </w:p>
    <w:p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Sídlo: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  <w:t>Jilská 361/1, 110 00 Praha 1</w:t>
      </w:r>
    </w:p>
    <w:p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Jednající: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  <w:t>RNDr. Tomáš Kostelecký, CSc., ředitel</w:t>
      </w:r>
    </w:p>
    <w:p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IČ: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  <w:t>68378025</w:t>
      </w:r>
    </w:p>
    <w:p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DIČ: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  <w:t>CZ68378025</w:t>
      </w:r>
    </w:p>
    <w:p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Kontaktní osoba:</w:t>
      </w:r>
      <w:r w:rsidRPr="00230229">
        <w:rPr>
          <w:szCs w:val="22"/>
          <w:lang w:val="cs-CZ"/>
        </w:rPr>
        <w:tab/>
      </w:r>
    </w:p>
    <w:p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Telefon, e-mail:</w:t>
      </w:r>
      <w:r w:rsidRPr="00230229">
        <w:rPr>
          <w:szCs w:val="22"/>
          <w:lang w:val="cs-CZ"/>
        </w:rPr>
        <w:tab/>
      </w:r>
    </w:p>
    <w:p w:rsidR="009A1355" w:rsidRPr="005067ED" w:rsidRDefault="009A1355" w:rsidP="00AF3236">
      <w:pPr>
        <w:spacing w:before="0" w:after="0" w:line="240" w:lineRule="auto"/>
        <w:rPr>
          <w:sz w:val="8"/>
          <w:szCs w:val="8"/>
          <w:lang w:val="cs-CZ"/>
        </w:rPr>
      </w:pPr>
    </w:p>
    <w:p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a</w:t>
      </w:r>
    </w:p>
    <w:p w:rsidR="009A1355" w:rsidRPr="005067ED" w:rsidRDefault="009A1355" w:rsidP="00AF3236">
      <w:pPr>
        <w:spacing w:before="0" w:after="0" w:line="240" w:lineRule="auto"/>
        <w:rPr>
          <w:sz w:val="8"/>
          <w:szCs w:val="8"/>
          <w:lang w:val="cs-CZ"/>
        </w:rPr>
      </w:pPr>
      <w:bookmarkStart w:id="10" w:name="_GoBack"/>
      <w:bookmarkEnd w:id="10"/>
    </w:p>
    <w:p w:rsidR="009A1355" w:rsidRPr="00230229" w:rsidRDefault="009A1355" w:rsidP="00AF3236">
      <w:pPr>
        <w:spacing w:before="0" w:after="0" w:line="240" w:lineRule="auto"/>
        <w:rPr>
          <w:b/>
          <w:szCs w:val="22"/>
          <w:lang w:val="cs-CZ"/>
        </w:rPr>
      </w:pPr>
      <w:r w:rsidRPr="00230229">
        <w:rPr>
          <w:b/>
          <w:szCs w:val="22"/>
          <w:lang w:val="cs-CZ"/>
        </w:rPr>
        <w:t>Zhotovitel</w:t>
      </w:r>
      <w:r w:rsidRPr="00230229">
        <w:rPr>
          <w:b/>
          <w:szCs w:val="22"/>
          <w:lang w:val="cs-CZ"/>
        </w:rPr>
        <w:tab/>
      </w:r>
    </w:p>
    <w:p w:rsidR="009A1355" w:rsidRPr="008C55B2" w:rsidRDefault="009A1355" w:rsidP="00AF3236">
      <w:pPr>
        <w:spacing w:before="0" w:after="0" w:line="240" w:lineRule="auto"/>
        <w:ind w:left="288" w:hanging="288"/>
        <w:rPr>
          <w:szCs w:val="22"/>
          <w:lang w:val="cs-CZ"/>
        </w:rPr>
      </w:pPr>
      <w:r w:rsidRPr="008C55B2">
        <w:rPr>
          <w:szCs w:val="22"/>
          <w:lang w:val="cs-CZ"/>
        </w:rPr>
        <w:t>Název:</w:t>
      </w:r>
      <w:r w:rsidRPr="008C55B2">
        <w:rPr>
          <w:szCs w:val="22"/>
          <w:lang w:val="cs-CZ"/>
        </w:rPr>
        <w:tab/>
      </w:r>
      <w:r w:rsidRPr="008C55B2">
        <w:rPr>
          <w:szCs w:val="22"/>
          <w:lang w:val="cs-CZ"/>
        </w:rPr>
        <w:tab/>
      </w:r>
      <w:r w:rsidRPr="008C55B2">
        <w:rPr>
          <w:szCs w:val="22"/>
          <w:lang w:val="cs-CZ"/>
        </w:rPr>
        <w:tab/>
      </w:r>
      <w:r w:rsidRPr="008C55B2">
        <w:rPr>
          <w:b/>
          <w:szCs w:val="22"/>
          <w:lang w:val="cs-CZ"/>
        </w:rPr>
        <w:t>M</w:t>
      </w:r>
      <w:r>
        <w:rPr>
          <w:b/>
          <w:szCs w:val="22"/>
          <w:lang w:val="cs-CZ"/>
        </w:rPr>
        <w:t>EDIAN</w:t>
      </w:r>
      <w:r w:rsidRPr="008C55B2">
        <w:rPr>
          <w:b/>
          <w:szCs w:val="22"/>
          <w:lang w:val="cs-CZ"/>
        </w:rPr>
        <w:t>, s.r.o.</w:t>
      </w:r>
      <w:r w:rsidRPr="008C55B2">
        <w:rPr>
          <w:szCs w:val="22"/>
          <w:lang w:val="cs-CZ"/>
        </w:rPr>
        <w:tab/>
      </w:r>
    </w:p>
    <w:p w:rsidR="009A1355" w:rsidRPr="008C55B2" w:rsidRDefault="009A1355" w:rsidP="00AF3236">
      <w:pPr>
        <w:spacing w:before="0" w:after="0" w:line="240" w:lineRule="auto"/>
        <w:ind w:left="288" w:hanging="288"/>
        <w:rPr>
          <w:szCs w:val="22"/>
          <w:lang w:val="cs-CZ"/>
        </w:rPr>
      </w:pPr>
      <w:r w:rsidRPr="008C55B2">
        <w:rPr>
          <w:szCs w:val="22"/>
          <w:lang w:val="cs-CZ"/>
        </w:rPr>
        <w:t>Adresa:</w:t>
      </w:r>
      <w:r w:rsidRPr="008C55B2">
        <w:rPr>
          <w:szCs w:val="22"/>
          <w:lang w:val="cs-CZ"/>
        </w:rPr>
        <w:tab/>
      </w:r>
      <w:r w:rsidRPr="008C55B2">
        <w:rPr>
          <w:szCs w:val="22"/>
          <w:lang w:val="cs-CZ"/>
        </w:rPr>
        <w:tab/>
      </w:r>
      <w:r w:rsidRPr="008C55B2">
        <w:rPr>
          <w:szCs w:val="22"/>
          <w:lang w:val="cs-CZ"/>
        </w:rPr>
        <w:tab/>
        <w:t>Národních hrdinů 73, 190 12 Praha 9 – Dolní Počernice</w:t>
      </w:r>
    </w:p>
    <w:p w:rsidR="009A1355" w:rsidRPr="005067ED" w:rsidRDefault="009A1355" w:rsidP="00AF3236">
      <w:pPr>
        <w:spacing w:before="0" w:after="0" w:line="240" w:lineRule="auto"/>
        <w:ind w:left="288" w:hanging="288"/>
        <w:rPr>
          <w:szCs w:val="22"/>
          <w:lang w:val="pl-PL"/>
        </w:rPr>
      </w:pPr>
      <w:r w:rsidRPr="005067ED">
        <w:rPr>
          <w:szCs w:val="22"/>
          <w:lang w:val="pl-PL"/>
        </w:rPr>
        <w:t xml:space="preserve">IČ: </w:t>
      </w:r>
      <w:r w:rsidRPr="005067ED">
        <w:rPr>
          <w:szCs w:val="22"/>
          <w:lang w:val="pl-PL"/>
        </w:rPr>
        <w:tab/>
      </w:r>
      <w:r w:rsidRPr="005067ED">
        <w:rPr>
          <w:szCs w:val="22"/>
          <w:lang w:val="pl-PL"/>
        </w:rPr>
        <w:tab/>
      </w:r>
      <w:r w:rsidRPr="005067ED">
        <w:rPr>
          <w:szCs w:val="22"/>
          <w:lang w:val="pl-PL"/>
        </w:rPr>
        <w:tab/>
      </w:r>
      <w:r>
        <w:rPr>
          <w:szCs w:val="22"/>
          <w:lang w:val="pl-PL"/>
        </w:rPr>
        <w:tab/>
      </w:r>
      <w:r w:rsidRPr="005067ED">
        <w:rPr>
          <w:szCs w:val="22"/>
          <w:lang w:val="pl-PL"/>
        </w:rPr>
        <w:t>48587001</w:t>
      </w:r>
    </w:p>
    <w:p w:rsidR="009A1355" w:rsidRPr="005067ED" w:rsidRDefault="009A1355" w:rsidP="00AF3236">
      <w:pPr>
        <w:spacing w:before="0" w:after="0" w:line="240" w:lineRule="auto"/>
        <w:ind w:left="288" w:hanging="288"/>
        <w:rPr>
          <w:szCs w:val="22"/>
          <w:lang w:val="pl-PL"/>
        </w:rPr>
      </w:pPr>
      <w:r w:rsidRPr="005067ED">
        <w:rPr>
          <w:szCs w:val="22"/>
          <w:lang w:val="pl-PL"/>
        </w:rPr>
        <w:t xml:space="preserve">DIČ: </w:t>
      </w:r>
      <w:r w:rsidRPr="005067ED">
        <w:rPr>
          <w:szCs w:val="22"/>
          <w:lang w:val="pl-PL"/>
        </w:rPr>
        <w:tab/>
      </w:r>
      <w:r w:rsidRPr="005067ED">
        <w:rPr>
          <w:szCs w:val="22"/>
          <w:lang w:val="pl-PL"/>
        </w:rPr>
        <w:tab/>
      </w:r>
      <w:r w:rsidRPr="005067ED">
        <w:rPr>
          <w:szCs w:val="22"/>
          <w:lang w:val="pl-PL"/>
        </w:rPr>
        <w:tab/>
        <w:t>CZ48587001</w:t>
      </w:r>
    </w:p>
    <w:p w:rsidR="009A1355" w:rsidRPr="005067ED" w:rsidRDefault="009A1355" w:rsidP="00AF3236">
      <w:pPr>
        <w:spacing w:before="0" w:after="0" w:line="240" w:lineRule="auto"/>
        <w:ind w:left="288" w:hanging="288"/>
        <w:rPr>
          <w:szCs w:val="22"/>
          <w:lang w:val="pl-PL"/>
        </w:rPr>
      </w:pPr>
      <w:r w:rsidRPr="005067ED">
        <w:rPr>
          <w:szCs w:val="22"/>
          <w:lang w:val="pl-PL"/>
        </w:rPr>
        <w:t xml:space="preserve">Bankovní spojení: </w:t>
      </w:r>
      <w:r w:rsidRPr="005067ED">
        <w:rPr>
          <w:szCs w:val="22"/>
          <w:lang w:val="pl-PL"/>
        </w:rPr>
        <w:tab/>
        <w:t>Komerční banka</w:t>
      </w:r>
    </w:p>
    <w:p w:rsidR="009A1355" w:rsidRPr="005067ED" w:rsidRDefault="009A1355" w:rsidP="00AF3236">
      <w:pPr>
        <w:spacing w:before="0" w:after="0" w:line="240" w:lineRule="auto"/>
        <w:ind w:left="288" w:hanging="288"/>
        <w:rPr>
          <w:szCs w:val="22"/>
          <w:lang w:val="pl-PL"/>
        </w:rPr>
      </w:pPr>
      <w:r w:rsidRPr="005067ED">
        <w:rPr>
          <w:szCs w:val="22"/>
          <w:lang w:val="pl-PL"/>
        </w:rPr>
        <w:t xml:space="preserve">č. účtu: </w:t>
      </w:r>
      <w:r w:rsidRPr="005067ED">
        <w:rPr>
          <w:szCs w:val="22"/>
          <w:lang w:val="pl-PL"/>
        </w:rPr>
        <w:tab/>
      </w:r>
      <w:r w:rsidRPr="005067ED">
        <w:rPr>
          <w:szCs w:val="22"/>
          <w:lang w:val="pl-PL"/>
        </w:rPr>
        <w:tab/>
      </w:r>
      <w:r>
        <w:rPr>
          <w:szCs w:val="22"/>
          <w:lang w:val="pl-PL"/>
        </w:rPr>
        <w:tab/>
      </w:r>
      <w:r w:rsidRPr="005067ED">
        <w:rPr>
          <w:szCs w:val="22"/>
          <w:lang w:val="pl-PL"/>
        </w:rPr>
        <w:t>27-7736030247/0100</w:t>
      </w:r>
    </w:p>
    <w:p w:rsidR="009A1355" w:rsidRPr="005067ED" w:rsidRDefault="009A1355" w:rsidP="00AF3236">
      <w:pPr>
        <w:spacing w:before="0" w:after="0" w:line="240" w:lineRule="auto"/>
        <w:ind w:left="288" w:hanging="288"/>
        <w:rPr>
          <w:szCs w:val="22"/>
          <w:lang w:val="pl-PL"/>
        </w:rPr>
      </w:pPr>
      <w:r w:rsidRPr="005067ED">
        <w:rPr>
          <w:szCs w:val="22"/>
          <w:lang w:val="pl-PL"/>
        </w:rPr>
        <w:t xml:space="preserve">zastoupený: </w:t>
      </w:r>
      <w:r w:rsidRPr="005067ED">
        <w:rPr>
          <w:szCs w:val="22"/>
          <w:lang w:val="pl-PL"/>
        </w:rPr>
        <w:tab/>
      </w:r>
      <w:r>
        <w:rPr>
          <w:szCs w:val="22"/>
          <w:lang w:val="pl-PL"/>
        </w:rPr>
        <w:tab/>
      </w:r>
      <w:r w:rsidRPr="005067ED">
        <w:rPr>
          <w:szCs w:val="22"/>
          <w:lang w:val="pl-PL"/>
        </w:rPr>
        <w:t>Mgr. Přemyslem Čechem, jednatelem</w:t>
      </w:r>
      <w:r w:rsidRPr="005067ED">
        <w:rPr>
          <w:szCs w:val="22"/>
          <w:lang w:val="pl-PL"/>
        </w:rPr>
        <w:tab/>
      </w:r>
      <w:r w:rsidRPr="005067ED">
        <w:rPr>
          <w:szCs w:val="22"/>
          <w:lang w:val="pl-PL"/>
        </w:rPr>
        <w:tab/>
      </w:r>
    </w:p>
    <w:p w:rsidR="009A1355" w:rsidRDefault="009A1355" w:rsidP="00AF3236">
      <w:pPr>
        <w:spacing w:before="0" w:after="0" w:line="240" w:lineRule="auto"/>
        <w:ind w:left="288" w:hanging="288"/>
        <w:rPr>
          <w:szCs w:val="22"/>
          <w:lang w:val="pl-PL"/>
        </w:rPr>
      </w:pPr>
      <w:r w:rsidRPr="005067ED">
        <w:rPr>
          <w:szCs w:val="22"/>
          <w:lang w:val="pl-PL"/>
        </w:rPr>
        <w:t>Společnost zapsána v obchodním rejstříku vedeném MS v Praze oddíl C, vložka 17975</w:t>
      </w:r>
    </w:p>
    <w:p w:rsidR="009A1355" w:rsidRDefault="009A1355" w:rsidP="00AF3236">
      <w:pPr>
        <w:spacing w:before="0" w:after="0" w:line="240" w:lineRule="auto"/>
        <w:rPr>
          <w:szCs w:val="22"/>
          <w:lang w:val="cs-CZ"/>
        </w:rPr>
      </w:pPr>
    </w:p>
    <w:p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Název: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 w:rsidRPr="00230229">
        <w:rPr>
          <w:b/>
          <w:szCs w:val="22"/>
          <w:lang w:val="cs-CZ"/>
        </w:rPr>
        <w:t>STEM/MARK, a.s.</w:t>
      </w:r>
    </w:p>
    <w:p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Adresa: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>
        <w:rPr>
          <w:szCs w:val="22"/>
          <w:lang w:val="cs-CZ"/>
        </w:rPr>
        <w:tab/>
      </w:r>
      <w:r w:rsidR="004273FB" w:rsidRPr="003A7873">
        <w:rPr>
          <w:rStyle w:val="lrzxr"/>
          <w:lang w:val="cs-CZ"/>
        </w:rPr>
        <w:t>Smrčkova 2485/4</w:t>
      </w:r>
      <w:r w:rsidRPr="00F22723">
        <w:rPr>
          <w:szCs w:val="22"/>
          <w:lang w:val="cs-CZ"/>
        </w:rPr>
        <w:t>, 180 00</w:t>
      </w:r>
      <w:r w:rsidRPr="00230229">
        <w:rPr>
          <w:szCs w:val="22"/>
          <w:lang w:val="cs-CZ"/>
        </w:rPr>
        <w:t xml:space="preserve"> Praha 8</w:t>
      </w:r>
    </w:p>
    <w:p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 xml:space="preserve">IČ: 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  <w:t>61859591</w:t>
      </w:r>
    </w:p>
    <w:p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 xml:space="preserve">DIČ: 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  <w:t>CZ61859591</w:t>
      </w:r>
    </w:p>
    <w:p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 xml:space="preserve">Bankovní spojení: </w:t>
      </w:r>
      <w:r w:rsidRPr="00230229">
        <w:rPr>
          <w:szCs w:val="22"/>
          <w:lang w:val="cs-CZ"/>
        </w:rPr>
        <w:tab/>
        <w:t>ČSOB</w:t>
      </w:r>
    </w:p>
    <w:p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 xml:space="preserve">č. účtu: 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>
        <w:rPr>
          <w:szCs w:val="22"/>
          <w:lang w:val="cs-CZ"/>
        </w:rPr>
        <w:tab/>
      </w:r>
      <w:r w:rsidRPr="00230229">
        <w:rPr>
          <w:szCs w:val="22"/>
          <w:lang w:val="cs-CZ"/>
        </w:rPr>
        <w:t>234 593 785/0300</w:t>
      </w:r>
    </w:p>
    <w:p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 xml:space="preserve">zastoupený: 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  <w:t>Ing. Janem Tučkem, ředitel a prokurista</w:t>
      </w:r>
    </w:p>
    <w:p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Společnost zapsána v obchodním rejstříku vedeném u Městského soudu v Praze oddíl B, spis</w:t>
      </w:r>
      <w:r>
        <w:rPr>
          <w:szCs w:val="22"/>
          <w:lang w:val="cs-CZ"/>
        </w:rPr>
        <w:t>.</w:t>
      </w:r>
      <w:r w:rsidRPr="00230229">
        <w:rPr>
          <w:szCs w:val="22"/>
          <w:lang w:val="cs-CZ"/>
        </w:rPr>
        <w:t xml:space="preserve"> </w:t>
      </w:r>
      <w:proofErr w:type="gramStart"/>
      <w:r w:rsidRPr="00230229">
        <w:rPr>
          <w:szCs w:val="22"/>
          <w:lang w:val="cs-CZ"/>
        </w:rPr>
        <w:t>značka</w:t>
      </w:r>
      <w:proofErr w:type="gramEnd"/>
      <w:r w:rsidRPr="00230229">
        <w:rPr>
          <w:szCs w:val="22"/>
          <w:lang w:val="cs-CZ"/>
        </w:rPr>
        <w:t xml:space="preserve"> 2841</w:t>
      </w:r>
    </w:p>
    <w:p w:rsidR="009A1355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uzavřely níže uvedeného dne, měsíce a roku tuto</w:t>
      </w:r>
    </w:p>
    <w:p w:rsidR="00AF3236" w:rsidRPr="00230229" w:rsidRDefault="00AF3236" w:rsidP="00AF3236">
      <w:pPr>
        <w:spacing w:before="0" w:after="0" w:line="240" w:lineRule="auto"/>
        <w:rPr>
          <w:szCs w:val="22"/>
          <w:lang w:val="cs-CZ"/>
        </w:rPr>
      </w:pPr>
    </w:p>
    <w:p w:rsidR="00672E82" w:rsidRDefault="00672E82" w:rsidP="00AF3236">
      <w:pPr>
        <w:pStyle w:val="Smlouva"/>
        <w:tabs>
          <w:tab w:val="clear" w:pos="1440"/>
        </w:tabs>
        <w:spacing w:after="120"/>
        <w:jc w:val="center"/>
        <w:rPr>
          <w:rFonts w:asciiTheme="minorHAnsi" w:hAnsiTheme="minorHAnsi"/>
          <w:b/>
          <w:sz w:val="22"/>
          <w:szCs w:val="22"/>
        </w:rPr>
      </w:pPr>
    </w:p>
    <w:p w:rsidR="009A1355" w:rsidRPr="00230229" w:rsidRDefault="009A1355" w:rsidP="00AF3236">
      <w:pPr>
        <w:pStyle w:val="Smlouva"/>
        <w:tabs>
          <w:tab w:val="clear" w:pos="1440"/>
        </w:tabs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230229">
        <w:rPr>
          <w:rFonts w:asciiTheme="minorHAnsi" w:hAnsiTheme="minorHAnsi"/>
          <w:b/>
          <w:sz w:val="22"/>
          <w:szCs w:val="22"/>
        </w:rPr>
        <w:t>Preambule</w:t>
      </w:r>
    </w:p>
    <w:p w:rsidR="00672E82" w:rsidRDefault="008D1A5F" w:rsidP="00CC3419">
      <w:pPr>
        <w:pStyle w:val="Smlouva"/>
        <w:tabs>
          <w:tab w:val="clear" w:pos="1440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Mezi objednatelem a zhotovitelem byla uzavřena smlouva o dílo na provedení výzkumného šetření České panelové šetření domácností v návaznosti na provedené zadávací řízení. Dříve uzavřenými dodatky č. 1</w:t>
      </w:r>
      <w:r w:rsidR="00E42913">
        <w:rPr>
          <w:rFonts w:asciiTheme="minorHAnsi" w:hAnsiTheme="minorHAnsi"/>
          <w:sz w:val="22"/>
          <w:szCs w:val="22"/>
        </w:rPr>
        <w:t>, č. 2, č. 3 a č. 4</w:t>
      </w:r>
      <w:r>
        <w:rPr>
          <w:rFonts w:asciiTheme="minorHAnsi" w:hAnsiTheme="minorHAnsi"/>
          <w:sz w:val="22"/>
          <w:szCs w:val="22"/>
        </w:rPr>
        <w:t xml:space="preserve"> došlo k doplnění předmětu díla a k příslušnému navýšení ceny. Tímto dodatkem se smluvní strany domlouvají o dalším doplnění předmětu díla i příslušné úpravě celkové ceny.</w:t>
      </w:r>
    </w:p>
    <w:p w:rsidR="00672E82" w:rsidRDefault="00672E82">
      <w:pPr>
        <w:spacing w:before="0" w:after="160" w:line="259" w:lineRule="auto"/>
        <w:jc w:val="left"/>
        <w:rPr>
          <w:rFonts w:eastAsia="Times New Roman" w:cs="Times New Roman"/>
          <w:szCs w:val="22"/>
          <w:lang w:val="cs-CZ" w:eastAsia="cs-CZ" w:bidi="ar-SA"/>
        </w:rPr>
      </w:pPr>
      <w:r>
        <w:rPr>
          <w:szCs w:val="22"/>
        </w:rPr>
        <w:br w:type="page"/>
      </w:r>
    </w:p>
    <w:p w:rsidR="008D1A5F" w:rsidRDefault="008D1A5F" w:rsidP="00CC3419">
      <w:pPr>
        <w:pStyle w:val="Smlouva"/>
        <w:tabs>
          <w:tab w:val="clear" w:pos="1440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Žádná z provedených změn smluvního vztahu není významnou změnou smlouvy, neboť:</w:t>
      </w:r>
    </w:p>
    <w:p w:rsidR="008D1A5F" w:rsidRPr="008D1A5F" w:rsidRDefault="00344E38" w:rsidP="00CC3419">
      <w:pPr>
        <w:pStyle w:val="Smlouva"/>
        <w:numPr>
          <w:ilvl w:val="0"/>
          <w:numId w:val="6"/>
        </w:numPr>
        <w:spacing w:after="120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b</w:t>
      </w:r>
      <w:r w:rsidR="008D1A5F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</w:t>
      </w:r>
      <w:r w:rsidR="008D1A5F">
        <w:rPr>
          <w:rFonts w:asciiTheme="minorHAnsi" w:hAnsiTheme="minorHAnsi"/>
          <w:sz w:val="22"/>
          <w:szCs w:val="22"/>
        </w:rPr>
        <w:t>neu</w:t>
      </w:r>
      <w:r w:rsidR="008D1A5F" w:rsidRPr="008D1A5F">
        <w:rPr>
          <w:rFonts w:asciiTheme="minorHAnsi" w:hAnsiTheme="minorHAnsi"/>
          <w:sz w:val="22"/>
          <w:szCs w:val="22"/>
        </w:rPr>
        <w:t>možnila</w:t>
      </w:r>
      <w:proofErr w:type="gramEnd"/>
      <w:r w:rsidR="008D1A5F" w:rsidRPr="008D1A5F">
        <w:rPr>
          <w:rFonts w:asciiTheme="minorHAnsi" w:hAnsiTheme="minorHAnsi"/>
          <w:sz w:val="22"/>
          <w:szCs w:val="22"/>
        </w:rPr>
        <w:t xml:space="preserve"> účast jiných dodavatelů </w:t>
      </w:r>
      <w:r w:rsidR="008D1A5F">
        <w:rPr>
          <w:rFonts w:asciiTheme="minorHAnsi" w:hAnsiTheme="minorHAnsi"/>
          <w:sz w:val="22"/>
          <w:szCs w:val="22"/>
        </w:rPr>
        <w:t>ani</w:t>
      </w:r>
      <w:r w:rsidR="008D1A5F" w:rsidRPr="008D1A5F">
        <w:rPr>
          <w:rFonts w:asciiTheme="minorHAnsi" w:hAnsiTheme="minorHAnsi"/>
          <w:sz w:val="22"/>
          <w:szCs w:val="22"/>
        </w:rPr>
        <w:t xml:space="preserve"> by </w:t>
      </w:r>
      <w:r w:rsidR="00AD4A5A">
        <w:rPr>
          <w:rFonts w:asciiTheme="minorHAnsi" w:hAnsiTheme="minorHAnsi"/>
          <w:sz w:val="22"/>
          <w:szCs w:val="22"/>
        </w:rPr>
        <w:t>ne</w:t>
      </w:r>
      <w:r w:rsidR="008D1A5F" w:rsidRPr="008D1A5F">
        <w:rPr>
          <w:rFonts w:asciiTheme="minorHAnsi" w:hAnsiTheme="minorHAnsi"/>
          <w:sz w:val="22"/>
          <w:szCs w:val="22"/>
        </w:rPr>
        <w:t>mohla ovlivnit výběr dodavatele v původním zadávacím řízení, pokud by zadávací podmínky původního zadávací</w:t>
      </w:r>
      <w:r w:rsidR="008D1A5F">
        <w:rPr>
          <w:rFonts w:asciiTheme="minorHAnsi" w:hAnsiTheme="minorHAnsi"/>
          <w:sz w:val="22"/>
          <w:szCs w:val="22"/>
        </w:rPr>
        <w:t>ho řízení odpovídaly této změně;</w:t>
      </w:r>
    </w:p>
    <w:p w:rsidR="008D1A5F" w:rsidRPr="008D1A5F" w:rsidRDefault="008D1A5F" w:rsidP="00CC3419">
      <w:pPr>
        <w:pStyle w:val="Smlouva"/>
        <w:numPr>
          <w:ilvl w:val="0"/>
          <w:numId w:val="6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nemění</w:t>
      </w:r>
      <w:r w:rsidRPr="008D1A5F">
        <w:rPr>
          <w:rFonts w:asciiTheme="minorHAnsi" w:hAnsiTheme="minorHAnsi"/>
          <w:sz w:val="22"/>
          <w:szCs w:val="22"/>
        </w:rPr>
        <w:t xml:space="preserve"> ekonomickou rovnováhu závazku ze smlouvy ve prospěch vybraného dodavatele, </w:t>
      </w:r>
    </w:p>
    <w:p w:rsidR="008D1A5F" w:rsidRDefault="008D1A5F" w:rsidP="00CC3419">
      <w:pPr>
        <w:pStyle w:val="Smlouva"/>
        <w:numPr>
          <w:ilvl w:val="0"/>
          <w:numId w:val="6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</w:t>
      </w:r>
      <w:r w:rsidRPr="008D1A5F">
        <w:rPr>
          <w:rFonts w:asciiTheme="minorHAnsi" w:hAnsiTheme="minorHAnsi"/>
          <w:sz w:val="22"/>
          <w:szCs w:val="22"/>
        </w:rPr>
        <w:t>ved</w:t>
      </w:r>
      <w:r>
        <w:rPr>
          <w:rFonts w:asciiTheme="minorHAnsi" w:hAnsiTheme="minorHAnsi"/>
          <w:sz w:val="22"/>
          <w:szCs w:val="22"/>
        </w:rPr>
        <w:t>e</w:t>
      </w:r>
      <w:r w:rsidRPr="008D1A5F">
        <w:rPr>
          <w:rFonts w:asciiTheme="minorHAnsi" w:hAnsiTheme="minorHAnsi"/>
          <w:sz w:val="22"/>
          <w:szCs w:val="22"/>
        </w:rPr>
        <w:t xml:space="preserve"> k významnému rozšíření rozsahu plnění veřejné zakázky.</w:t>
      </w:r>
    </w:p>
    <w:p w:rsidR="00672E82" w:rsidRDefault="00672E82" w:rsidP="00CC3419">
      <w:pPr>
        <w:pStyle w:val="Smlouva"/>
        <w:spacing w:after="120"/>
        <w:jc w:val="both"/>
        <w:rPr>
          <w:rFonts w:asciiTheme="minorHAnsi" w:hAnsiTheme="minorHAnsi"/>
          <w:sz w:val="22"/>
          <w:szCs w:val="22"/>
        </w:rPr>
      </w:pPr>
    </w:p>
    <w:p w:rsidR="00C44655" w:rsidRPr="00C44655" w:rsidRDefault="008D1A5F" w:rsidP="00CC3419">
      <w:pPr>
        <w:pStyle w:val="Smlouva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Předmětem dodatku jsou dodatečné služby od původního dodavatele</w:t>
      </w:r>
      <w:r w:rsidR="00C44655">
        <w:rPr>
          <w:rFonts w:asciiTheme="minorHAnsi" w:hAnsiTheme="minorHAnsi"/>
          <w:sz w:val="22"/>
          <w:szCs w:val="22"/>
        </w:rPr>
        <w:t xml:space="preserve"> (ať už jde o rozšíření počtu dotazovaných domácností</w:t>
      </w:r>
      <w:r w:rsidR="00534B9F">
        <w:rPr>
          <w:rFonts w:asciiTheme="minorHAnsi" w:hAnsiTheme="minorHAnsi"/>
          <w:sz w:val="22"/>
          <w:szCs w:val="22"/>
        </w:rPr>
        <w:t>,</w:t>
      </w:r>
      <w:r w:rsidR="00C44655">
        <w:rPr>
          <w:rFonts w:asciiTheme="minorHAnsi" w:hAnsiTheme="minorHAnsi"/>
          <w:sz w:val="22"/>
          <w:szCs w:val="22"/>
        </w:rPr>
        <w:t xml:space="preserve"> nebo</w:t>
      </w:r>
      <w:r w:rsidR="00EB6E84">
        <w:rPr>
          <w:rFonts w:asciiTheme="minorHAnsi" w:hAnsiTheme="minorHAnsi"/>
          <w:sz w:val="22"/>
          <w:szCs w:val="22"/>
        </w:rPr>
        <w:t xml:space="preserve"> </w:t>
      </w:r>
      <w:r w:rsidR="00D029F5">
        <w:rPr>
          <w:rFonts w:asciiTheme="minorHAnsi" w:hAnsiTheme="minorHAnsi"/>
          <w:sz w:val="22"/>
          <w:szCs w:val="22"/>
        </w:rPr>
        <w:t>výroba</w:t>
      </w:r>
      <w:r w:rsidR="001509D5">
        <w:rPr>
          <w:rFonts w:asciiTheme="minorHAnsi" w:hAnsiTheme="minorHAnsi"/>
          <w:sz w:val="22"/>
          <w:szCs w:val="22"/>
        </w:rPr>
        <w:t xml:space="preserve"> podpůrných materiálů pro dotazování</w:t>
      </w:r>
      <w:r w:rsidR="00EB6E84">
        <w:rPr>
          <w:rFonts w:asciiTheme="minorHAnsi" w:hAnsiTheme="minorHAnsi"/>
          <w:sz w:val="22"/>
          <w:szCs w:val="22"/>
        </w:rPr>
        <w:t>),</w:t>
      </w:r>
      <w:r>
        <w:rPr>
          <w:rFonts w:asciiTheme="minorHAnsi" w:hAnsiTheme="minorHAnsi"/>
          <w:sz w:val="22"/>
          <w:szCs w:val="22"/>
        </w:rPr>
        <w:t xml:space="preserve"> které nebyly zahrnuty v původním závazku ze smlouvy na v</w:t>
      </w:r>
      <w:r w:rsidR="00C44655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řejnou zakázku</w:t>
      </w:r>
      <w:r w:rsidR="00C44655">
        <w:rPr>
          <w:rFonts w:asciiTheme="minorHAnsi" w:hAnsiTheme="minorHAnsi"/>
          <w:sz w:val="22"/>
          <w:szCs w:val="22"/>
        </w:rPr>
        <w:t xml:space="preserve">, jsou nezbytné </w:t>
      </w:r>
      <w:r w:rsidR="00C44655" w:rsidRPr="00C44655">
        <w:rPr>
          <w:rFonts w:asciiTheme="minorHAnsi" w:hAnsiTheme="minorHAnsi"/>
          <w:sz w:val="22"/>
          <w:szCs w:val="22"/>
        </w:rPr>
        <w:t>a změna v osobě dodavatele</w:t>
      </w:r>
      <w:r w:rsidR="00C44655">
        <w:rPr>
          <w:rFonts w:asciiTheme="minorHAnsi" w:hAnsiTheme="minorHAnsi"/>
          <w:sz w:val="22"/>
          <w:szCs w:val="22"/>
        </w:rPr>
        <w:t>:</w:t>
      </w:r>
      <w:r w:rsidR="00C44655" w:rsidRPr="00C44655">
        <w:rPr>
          <w:rFonts w:asciiTheme="minorHAnsi" w:hAnsiTheme="minorHAnsi"/>
          <w:sz w:val="22"/>
          <w:szCs w:val="22"/>
        </w:rPr>
        <w:t xml:space="preserve"> </w:t>
      </w:r>
    </w:p>
    <w:p w:rsidR="00C44655" w:rsidRPr="00C44655" w:rsidRDefault="00C44655" w:rsidP="00CC3419">
      <w:pPr>
        <w:pStyle w:val="Smlouva"/>
        <w:numPr>
          <w:ilvl w:val="0"/>
          <w:numId w:val="7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C44655">
        <w:rPr>
          <w:rFonts w:asciiTheme="minorHAnsi" w:hAnsiTheme="minorHAnsi"/>
          <w:sz w:val="22"/>
          <w:szCs w:val="22"/>
        </w:rPr>
        <w:t>není možná z ekonomických anebo technických důvodů spočívajících zejména v požadavcích na slučitelnost nebo interoperabilitu se stávajícím</w:t>
      </w:r>
      <w:r>
        <w:rPr>
          <w:rFonts w:asciiTheme="minorHAnsi" w:hAnsiTheme="minorHAnsi"/>
          <w:sz w:val="22"/>
          <w:szCs w:val="22"/>
        </w:rPr>
        <w:t>i</w:t>
      </w:r>
      <w:r w:rsidRPr="00C44655">
        <w:rPr>
          <w:rFonts w:asciiTheme="minorHAnsi" w:hAnsiTheme="minorHAnsi"/>
          <w:sz w:val="22"/>
          <w:szCs w:val="22"/>
        </w:rPr>
        <w:t xml:space="preserve"> službami pořízenými zadavatelem v původním zadávacím řízení,</w:t>
      </w:r>
    </w:p>
    <w:p w:rsidR="00C44655" w:rsidRPr="00C44655" w:rsidRDefault="00C44655" w:rsidP="00CC3419">
      <w:pPr>
        <w:pStyle w:val="Smlouva"/>
        <w:numPr>
          <w:ilvl w:val="0"/>
          <w:numId w:val="7"/>
        </w:numPr>
        <w:tabs>
          <w:tab w:val="num" w:pos="1440"/>
        </w:tabs>
        <w:spacing w:after="120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b</w:t>
      </w:r>
      <w:r w:rsidRPr="00C44655">
        <w:rPr>
          <w:rFonts w:asciiTheme="minorHAnsi" w:hAnsiTheme="minorHAnsi"/>
          <w:sz w:val="22"/>
          <w:szCs w:val="22"/>
        </w:rPr>
        <w:t>y způsobila</w:t>
      </w:r>
      <w:proofErr w:type="gramEnd"/>
      <w:r w:rsidRPr="00C44655">
        <w:rPr>
          <w:rFonts w:asciiTheme="minorHAnsi" w:hAnsiTheme="minorHAnsi"/>
          <w:sz w:val="22"/>
          <w:szCs w:val="22"/>
        </w:rPr>
        <w:t xml:space="preserve"> zadavateli značné obtíže nebo výrazné zvýšení nákladů a</w:t>
      </w:r>
    </w:p>
    <w:p w:rsidR="00C44655" w:rsidRDefault="00C44655" w:rsidP="00CC3419">
      <w:pPr>
        <w:pStyle w:val="Smlouva"/>
        <w:numPr>
          <w:ilvl w:val="0"/>
          <w:numId w:val="7"/>
        </w:numPr>
        <w:tabs>
          <w:tab w:val="num" w:pos="1440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C44655">
        <w:rPr>
          <w:rFonts w:asciiTheme="minorHAnsi" w:hAnsiTheme="minorHAnsi"/>
          <w:sz w:val="22"/>
          <w:szCs w:val="22"/>
        </w:rPr>
        <w:t xml:space="preserve">hodnota dodatečných služeb </w:t>
      </w:r>
      <w:r w:rsidRPr="00EB6E84">
        <w:rPr>
          <w:rFonts w:asciiTheme="minorHAnsi" w:hAnsiTheme="minorHAnsi"/>
          <w:sz w:val="22"/>
          <w:szCs w:val="22"/>
        </w:rPr>
        <w:t xml:space="preserve">nepřekročí </w:t>
      </w:r>
      <w:r w:rsidR="007E52A8" w:rsidRPr="002D5129">
        <w:rPr>
          <w:rFonts w:asciiTheme="minorHAnsi" w:hAnsiTheme="minorHAnsi"/>
          <w:sz w:val="22"/>
          <w:szCs w:val="22"/>
        </w:rPr>
        <w:t>2</w:t>
      </w:r>
      <w:r w:rsidRPr="002D5129">
        <w:rPr>
          <w:rFonts w:asciiTheme="minorHAnsi" w:hAnsiTheme="minorHAnsi"/>
          <w:sz w:val="22"/>
          <w:szCs w:val="22"/>
        </w:rPr>
        <w:t>0 % původní hodnoty</w:t>
      </w:r>
      <w:r w:rsidRPr="00C44655">
        <w:rPr>
          <w:rFonts w:asciiTheme="minorHAnsi" w:hAnsiTheme="minorHAnsi"/>
          <w:sz w:val="22"/>
          <w:szCs w:val="22"/>
        </w:rPr>
        <w:t xml:space="preserve"> závazku; pokud bude provedeno více změn, je rozhodný součet hodnoty všech </w:t>
      </w:r>
      <w:r>
        <w:rPr>
          <w:rFonts w:asciiTheme="minorHAnsi" w:hAnsiTheme="minorHAnsi"/>
          <w:sz w:val="22"/>
          <w:szCs w:val="22"/>
        </w:rPr>
        <w:t xml:space="preserve">provedených </w:t>
      </w:r>
      <w:r w:rsidRPr="00C44655">
        <w:rPr>
          <w:rFonts w:asciiTheme="minorHAnsi" w:hAnsiTheme="minorHAnsi"/>
          <w:sz w:val="22"/>
          <w:szCs w:val="22"/>
        </w:rPr>
        <w:t>změn</w:t>
      </w:r>
      <w:r>
        <w:rPr>
          <w:rFonts w:asciiTheme="minorHAnsi" w:hAnsiTheme="minorHAnsi"/>
          <w:sz w:val="22"/>
          <w:szCs w:val="22"/>
        </w:rPr>
        <w:t>.</w:t>
      </w:r>
    </w:p>
    <w:p w:rsidR="00C44655" w:rsidRDefault="00C44655" w:rsidP="00C44655">
      <w:pPr>
        <w:pStyle w:val="Smlouva"/>
        <w:tabs>
          <w:tab w:val="clear" w:pos="1440"/>
        </w:tabs>
        <w:spacing w:after="120"/>
        <w:rPr>
          <w:rFonts w:asciiTheme="minorHAnsi" w:hAnsiTheme="minorHAnsi"/>
          <w:sz w:val="22"/>
          <w:szCs w:val="22"/>
        </w:rPr>
      </w:pPr>
    </w:p>
    <w:p w:rsidR="00C44655" w:rsidRDefault="00C44655" w:rsidP="00CC3419">
      <w:pPr>
        <w:pStyle w:val="Smlouva"/>
        <w:tabs>
          <w:tab w:val="clear" w:pos="1440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Dodatečné práce ve </w:t>
      </w:r>
      <w:r w:rsidR="00706D30">
        <w:rPr>
          <w:rFonts w:asciiTheme="minorHAnsi" w:hAnsiTheme="minorHAnsi"/>
          <w:sz w:val="22"/>
          <w:szCs w:val="22"/>
        </w:rPr>
        <w:t xml:space="preserve">výzkumném </w:t>
      </w:r>
      <w:r>
        <w:rPr>
          <w:rFonts w:asciiTheme="minorHAnsi" w:hAnsiTheme="minorHAnsi"/>
          <w:sz w:val="22"/>
          <w:szCs w:val="22"/>
        </w:rPr>
        <w:t xml:space="preserve">roce </w:t>
      </w:r>
      <w:r w:rsidR="00706D30">
        <w:rPr>
          <w:rFonts w:asciiTheme="minorHAnsi" w:hAnsiTheme="minorHAnsi"/>
          <w:sz w:val="22"/>
          <w:szCs w:val="22"/>
        </w:rPr>
        <w:t>201</w:t>
      </w:r>
      <w:r w:rsidR="00DA54FA">
        <w:rPr>
          <w:rFonts w:asciiTheme="minorHAnsi" w:hAnsiTheme="minorHAnsi"/>
          <w:sz w:val="22"/>
          <w:szCs w:val="22"/>
        </w:rPr>
        <w:t>8</w:t>
      </w:r>
      <w:r w:rsidR="00706D30">
        <w:rPr>
          <w:rFonts w:asciiTheme="minorHAnsi" w:hAnsiTheme="minorHAnsi"/>
          <w:sz w:val="22"/>
          <w:szCs w:val="22"/>
        </w:rPr>
        <w:t>:</w:t>
      </w:r>
    </w:p>
    <w:p w:rsidR="00C44655" w:rsidRDefault="00706D30" w:rsidP="00CC3419">
      <w:pPr>
        <w:pStyle w:val="Smlouva"/>
        <w:tabs>
          <w:tab w:val="clear" w:pos="1440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 výzkumném</w:t>
      </w:r>
      <w:r w:rsidR="00C44655">
        <w:rPr>
          <w:rFonts w:asciiTheme="minorHAnsi" w:hAnsiTheme="minorHAnsi"/>
          <w:sz w:val="22"/>
          <w:szCs w:val="22"/>
        </w:rPr>
        <w:t xml:space="preserve"> roce </w:t>
      </w:r>
      <w:r>
        <w:rPr>
          <w:rFonts w:asciiTheme="minorHAnsi" w:hAnsiTheme="minorHAnsi"/>
          <w:sz w:val="22"/>
          <w:szCs w:val="22"/>
        </w:rPr>
        <w:t>201</w:t>
      </w:r>
      <w:r w:rsidR="00DA54FA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</w:t>
      </w:r>
      <w:r w:rsidR="00C44655">
        <w:rPr>
          <w:rFonts w:asciiTheme="minorHAnsi" w:hAnsiTheme="minorHAnsi"/>
          <w:sz w:val="22"/>
          <w:szCs w:val="22"/>
        </w:rPr>
        <w:t xml:space="preserve">projektu provede zhotovitel tyto práce, které nebyly zahrnuty ve smlouvě uzavřené v návaznosti na provedené zadávací řízení. </w:t>
      </w:r>
      <w:r w:rsidR="00DF0612">
        <w:rPr>
          <w:rFonts w:asciiTheme="minorHAnsi" w:hAnsiTheme="minorHAnsi"/>
          <w:sz w:val="22"/>
          <w:szCs w:val="22"/>
        </w:rPr>
        <w:t xml:space="preserve">Uvedené </w:t>
      </w:r>
      <w:r w:rsidR="00C44655">
        <w:rPr>
          <w:rFonts w:asciiTheme="minorHAnsi" w:hAnsiTheme="minorHAnsi"/>
          <w:sz w:val="22"/>
          <w:szCs w:val="22"/>
        </w:rPr>
        <w:t>dodatečn</w:t>
      </w:r>
      <w:r w:rsidR="00DF0612">
        <w:rPr>
          <w:rFonts w:asciiTheme="minorHAnsi" w:hAnsiTheme="minorHAnsi"/>
          <w:sz w:val="22"/>
          <w:szCs w:val="22"/>
        </w:rPr>
        <w:t>é</w:t>
      </w:r>
      <w:r w:rsidR="00C44655">
        <w:rPr>
          <w:rFonts w:asciiTheme="minorHAnsi" w:hAnsiTheme="minorHAnsi"/>
          <w:sz w:val="22"/>
          <w:szCs w:val="22"/>
        </w:rPr>
        <w:t xml:space="preserve"> </w:t>
      </w:r>
      <w:r w:rsidR="00DF0612">
        <w:rPr>
          <w:rFonts w:asciiTheme="minorHAnsi" w:hAnsiTheme="minorHAnsi"/>
          <w:sz w:val="22"/>
          <w:szCs w:val="22"/>
        </w:rPr>
        <w:t xml:space="preserve">práce </w:t>
      </w:r>
      <w:r w:rsidR="00C44655">
        <w:rPr>
          <w:rFonts w:asciiTheme="minorHAnsi" w:hAnsiTheme="minorHAnsi"/>
          <w:sz w:val="22"/>
          <w:szCs w:val="22"/>
        </w:rPr>
        <w:t xml:space="preserve">byly sjednány již v předchozích dodatcích a byly zhotovitelem provedeny </w:t>
      </w:r>
      <w:r w:rsidR="00340F73">
        <w:rPr>
          <w:rFonts w:asciiTheme="minorHAnsi" w:hAnsiTheme="minorHAnsi"/>
          <w:sz w:val="22"/>
          <w:szCs w:val="22"/>
        </w:rPr>
        <w:t xml:space="preserve">již </w:t>
      </w:r>
      <w:r w:rsidR="00C44655">
        <w:rPr>
          <w:rFonts w:asciiTheme="minorHAnsi" w:hAnsiTheme="minorHAnsi"/>
          <w:sz w:val="22"/>
          <w:szCs w:val="22"/>
        </w:rPr>
        <w:t>v předchozí</w:t>
      </w:r>
      <w:r w:rsidR="00DF0612">
        <w:rPr>
          <w:rFonts w:asciiTheme="minorHAnsi" w:hAnsiTheme="minorHAnsi"/>
          <w:sz w:val="22"/>
          <w:szCs w:val="22"/>
        </w:rPr>
        <w:t>ch</w:t>
      </w:r>
      <w:r w:rsidR="00C44655">
        <w:rPr>
          <w:rFonts w:asciiTheme="minorHAnsi" w:hAnsiTheme="minorHAnsi"/>
          <w:sz w:val="22"/>
          <w:szCs w:val="22"/>
        </w:rPr>
        <w:t xml:space="preserve"> období</w:t>
      </w:r>
      <w:r w:rsidR="00DF0612">
        <w:rPr>
          <w:rFonts w:asciiTheme="minorHAnsi" w:hAnsiTheme="minorHAnsi"/>
          <w:sz w:val="22"/>
          <w:szCs w:val="22"/>
        </w:rPr>
        <w:t>ch</w:t>
      </w:r>
      <w:r w:rsidR="00C44655">
        <w:rPr>
          <w:rFonts w:asciiTheme="minorHAnsi" w:hAnsiTheme="minorHAnsi"/>
          <w:sz w:val="22"/>
          <w:szCs w:val="22"/>
        </w:rPr>
        <w:t>:</w:t>
      </w:r>
    </w:p>
    <w:p w:rsidR="00413D29" w:rsidRPr="00413D29" w:rsidRDefault="00413D29" w:rsidP="00F96C55">
      <w:pPr>
        <w:pStyle w:val="Odstavecseseznamem"/>
        <w:numPr>
          <w:ilvl w:val="0"/>
          <w:numId w:val="4"/>
        </w:numPr>
        <w:jc w:val="both"/>
        <w:rPr>
          <w:rFonts w:eastAsia="Times New Roman" w:cs="Times New Roman"/>
          <w:lang w:val="cs-CZ" w:eastAsia="cs-CZ"/>
        </w:rPr>
      </w:pPr>
      <w:r w:rsidRPr="00413D29">
        <w:rPr>
          <w:rFonts w:eastAsia="Times New Roman" w:cs="Times New Roman"/>
          <w:lang w:val="cs-CZ" w:eastAsia="cs-CZ"/>
        </w:rPr>
        <w:t xml:space="preserve">tisk barevných PAPI dotazníků </w:t>
      </w:r>
      <w:r w:rsidR="00AF7A2F">
        <w:rPr>
          <w:rFonts w:eastAsia="Times New Roman" w:cs="Times New Roman"/>
          <w:lang w:val="cs-CZ" w:eastAsia="cs-CZ"/>
        </w:rPr>
        <w:t>se osvědčil</w:t>
      </w:r>
      <w:r w:rsidRPr="00413D29">
        <w:rPr>
          <w:rFonts w:eastAsia="Times New Roman" w:cs="Times New Roman"/>
          <w:lang w:val="cs-CZ" w:eastAsia="cs-CZ"/>
        </w:rPr>
        <w:t xml:space="preserve"> při dotazování</w:t>
      </w:r>
      <w:r w:rsidR="00AF7A2F">
        <w:rPr>
          <w:rFonts w:eastAsia="Times New Roman" w:cs="Times New Roman"/>
          <w:lang w:val="cs-CZ" w:eastAsia="cs-CZ"/>
        </w:rPr>
        <w:t xml:space="preserve"> v předchozích obdobích a objednatel ho požaduje i ve výzkumném roce 201</w:t>
      </w:r>
      <w:r w:rsidR="00DA54FA">
        <w:rPr>
          <w:rFonts w:eastAsia="Times New Roman" w:cs="Times New Roman"/>
          <w:lang w:val="cs-CZ" w:eastAsia="cs-CZ"/>
        </w:rPr>
        <w:t>8</w:t>
      </w:r>
      <w:r w:rsidRPr="00413D29">
        <w:rPr>
          <w:rFonts w:eastAsia="Times New Roman" w:cs="Times New Roman"/>
          <w:lang w:val="cs-CZ" w:eastAsia="cs-CZ"/>
        </w:rPr>
        <w:t>,</w:t>
      </w:r>
    </w:p>
    <w:p w:rsidR="00413D29" w:rsidRPr="00413D29" w:rsidRDefault="00413D29" w:rsidP="00F96C55">
      <w:pPr>
        <w:pStyle w:val="Odstavecseseznamem"/>
        <w:numPr>
          <w:ilvl w:val="0"/>
          <w:numId w:val="4"/>
        </w:numPr>
        <w:jc w:val="both"/>
        <w:rPr>
          <w:rFonts w:eastAsia="Times New Roman" w:cs="Times New Roman"/>
          <w:lang w:val="cs-CZ" w:eastAsia="cs-CZ"/>
        </w:rPr>
      </w:pPr>
      <w:r w:rsidRPr="00413D29">
        <w:rPr>
          <w:rFonts w:eastAsia="Times New Roman" w:cs="Times New Roman"/>
          <w:lang w:val="cs-CZ" w:eastAsia="cs-CZ"/>
        </w:rPr>
        <w:t>zajištění výroby podpůrných materiálů pro dotazování: omalovánky pro děti a kuličkové propisovací tužky s logem projektu pro vyplňování PAPI dotazových instrumentů, a jejich využití při šetření</w:t>
      </w:r>
      <w:r w:rsidR="00AF7A2F">
        <w:rPr>
          <w:rFonts w:eastAsia="Times New Roman" w:cs="Times New Roman"/>
          <w:lang w:val="cs-CZ" w:eastAsia="cs-CZ"/>
        </w:rPr>
        <w:t xml:space="preserve"> s cílem </w:t>
      </w:r>
      <w:r w:rsidR="00D70799">
        <w:rPr>
          <w:rFonts w:eastAsia="Times New Roman" w:cs="Times New Roman"/>
          <w:lang w:val="cs-CZ" w:eastAsia="cs-CZ"/>
        </w:rPr>
        <w:t>zefektivnění sběru dat a zvyšování návratnosti na úrovni jednotlivých instrumentů (vyplnění PAPI dotazových instrumentů není povinné),</w:t>
      </w:r>
    </w:p>
    <w:p w:rsidR="00413D29" w:rsidRPr="00413D29" w:rsidRDefault="00413D29" w:rsidP="00F96C55">
      <w:pPr>
        <w:pStyle w:val="Odstavecseseznamem"/>
        <w:numPr>
          <w:ilvl w:val="0"/>
          <w:numId w:val="4"/>
        </w:numPr>
        <w:jc w:val="both"/>
        <w:rPr>
          <w:rFonts w:eastAsia="Times New Roman" w:cs="Times New Roman"/>
          <w:lang w:val="cs-CZ" w:eastAsia="cs-CZ"/>
        </w:rPr>
      </w:pPr>
      <w:r w:rsidRPr="00413D29">
        <w:rPr>
          <w:rFonts w:eastAsia="Times New Roman" w:cs="Times New Roman"/>
          <w:lang w:val="cs-CZ" w:eastAsia="cs-CZ"/>
        </w:rPr>
        <w:t xml:space="preserve">zajištění výroby dárkových předmětů jako odměn za vyplnění PAPI dotazových instrumentů pro děti </w:t>
      </w:r>
      <w:r w:rsidR="00D70799">
        <w:rPr>
          <w:rFonts w:eastAsia="Times New Roman" w:cs="Times New Roman"/>
          <w:lang w:val="cs-CZ" w:eastAsia="cs-CZ"/>
        </w:rPr>
        <w:t>ve věku 10 až 17 let</w:t>
      </w:r>
      <w:r w:rsidR="003D5544">
        <w:rPr>
          <w:rFonts w:eastAsia="Times New Roman" w:cs="Times New Roman"/>
          <w:lang w:val="cs-CZ" w:eastAsia="cs-CZ"/>
        </w:rPr>
        <w:t>. Dárkové předměty dle zkušeností z předchozích období udržují návratnost dětských instrumentů na požadované úrovni,</w:t>
      </w:r>
    </w:p>
    <w:p w:rsidR="00413D29" w:rsidRPr="00413D29" w:rsidRDefault="00413D29" w:rsidP="00F96C55">
      <w:pPr>
        <w:pStyle w:val="Odstavecseseznamem"/>
        <w:numPr>
          <w:ilvl w:val="0"/>
          <w:numId w:val="4"/>
        </w:numPr>
        <w:jc w:val="both"/>
        <w:rPr>
          <w:rFonts w:eastAsia="Times New Roman" w:cs="Times New Roman"/>
          <w:lang w:val="cs-CZ" w:eastAsia="cs-CZ"/>
        </w:rPr>
      </w:pPr>
      <w:r w:rsidRPr="00413D29">
        <w:rPr>
          <w:rFonts w:eastAsia="Times New Roman" w:cs="Times New Roman"/>
          <w:lang w:val="cs-CZ" w:eastAsia="cs-CZ"/>
        </w:rPr>
        <w:t>pořízení kopie formulářů pro souhlas s poskytnutím osobních údajů,</w:t>
      </w:r>
    </w:p>
    <w:p w:rsidR="00414BC4" w:rsidRPr="003A7873" w:rsidRDefault="00413D29" w:rsidP="00F96C55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lang w:val="cs-CZ" w:eastAsia="cs-CZ"/>
        </w:rPr>
      </w:pPr>
      <w:r w:rsidRPr="00672E82">
        <w:rPr>
          <w:rFonts w:eastAsia="Times New Roman" w:cs="Times New Roman"/>
          <w:lang w:val="cs-CZ" w:eastAsia="cs-CZ"/>
        </w:rPr>
        <w:t xml:space="preserve">dotázání dodatečného počtu nejvýše </w:t>
      </w:r>
      <w:r w:rsidR="00E31F0E" w:rsidRPr="00E31F0E">
        <w:rPr>
          <w:rFonts w:eastAsia="Times New Roman" w:cs="Times New Roman"/>
          <w:lang w:val="cs-CZ" w:eastAsia="cs-CZ"/>
        </w:rPr>
        <w:t>1000</w:t>
      </w:r>
      <w:r w:rsidRPr="00672E82">
        <w:rPr>
          <w:rFonts w:eastAsia="Times New Roman" w:cs="Times New Roman"/>
          <w:lang w:val="cs-CZ" w:eastAsia="cs-CZ"/>
        </w:rPr>
        <w:t xml:space="preserve"> domácností (ze vzorku domácností vyšetřeného ve </w:t>
      </w:r>
      <w:r w:rsidR="003D5544">
        <w:rPr>
          <w:rFonts w:eastAsia="Times New Roman" w:cs="Times New Roman"/>
          <w:lang w:val="cs-CZ" w:eastAsia="cs-CZ"/>
        </w:rPr>
        <w:t>třetím</w:t>
      </w:r>
      <w:r w:rsidR="003D5544" w:rsidRPr="00672E82">
        <w:rPr>
          <w:rFonts w:eastAsia="Times New Roman" w:cs="Times New Roman"/>
          <w:lang w:val="cs-CZ" w:eastAsia="cs-CZ"/>
        </w:rPr>
        <w:t xml:space="preserve"> </w:t>
      </w:r>
      <w:r w:rsidRPr="00672E82">
        <w:rPr>
          <w:rFonts w:eastAsia="Times New Roman" w:cs="Times New Roman"/>
          <w:lang w:val="cs-CZ" w:eastAsia="cs-CZ"/>
        </w:rPr>
        <w:t xml:space="preserve">výzkumném roce) nad rámec minimálního počtu stanoveného pro </w:t>
      </w:r>
      <w:r w:rsidR="00E42913">
        <w:rPr>
          <w:rFonts w:eastAsia="Times New Roman" w:cs="Times New Roman"/>
          <w:lang w:val="cs-CZ" w:eastAsia="cs-CZ"/>
        </w:rPr>
        <w:t>čtvrtý</w:t>
      </w:r>
      <w:r w:rsidR="00E42913" w:rsidRPr="00672E82">
        <w:rPr>
          <w:rFonts w:eastAsia="Times New Roman" w:cs="Times New Roman"/>
          <w:lang w:val="cs-CZ" w:eastAsia="cs-CZ"/>
        </w:rPr>
        <w:t xml:space="preserve"> </w:t>
      </w:r>
      <w:r w:rsidRPr="00672E82">
        <w:rPr>
          <w:rFonts w:eastAsia="Times New Roman" w:cs="Times New Roman"/>
          <w:lang w:val="cs-CZ" w:eastAsia="cs-CZ"/>
        </w:rPr>
        <w:t>výzkumný rok. Na dodatečné domácnosti se nevztahuje procentní úprava základní ceny výzkumu a jejich výsledný počet závisí na schopnostech zhotovitele vyšetřit během stanové doby terénních prací domácnosti nad určený minimální počet</w:t>
      </w:r>
      <w:r w:rsidR="00414BC4">
        <w:rPr>
          <w:rFonts w:eastAsia="Times New Roman" w:cs="Times New Roman"/>
          <w:lang w:val="cs-CZ" w:eastAsia="cs-CZ"/>
        </w:rPr>
        <w:t>,</w:t>
      </w:r>
    </w:p>
    <w:p w:rsidR="001F348E" w:rsidRDefault="00414BC4" w:rsidP="003A7873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p</w:t>
      </w:r>
      <w:r w:rsidRPr="00947CBF">
        <w:rPr>
          <w:lang w:val="cs-CZ"/>
        </w:rPr>
        <w:t>rodloužení délky CAPI individuálního dotazníku nad rozmezí specifikované v</w:t>
      </w:r>
      <w:r>
        <w:rPr>
          <w:lang w:val="cs-CZ"/>
        </w:rPr>
        <w:t> zadávací dokumentaci k</w:t>
      </w:r>
      <w:r w:rsidR="001F348E">
        <w:rPr>
          <w:lang w:val="cs-CZ"/>
        </w:rPr>
        <w:t> </w:t>
      </w:r>
      <w:r>
        <w:rPr>
          <w:lang w:val="cs-CZ"/>
        </w:rPr>
        <w:t>výzkumu</w:t>
      </w:r>
      <w:r w:rsidR="001F348E">
        <w:rPr>
          <w:lang w:val="cs-CZ"/>
        </w:rPr>
        <w:t>,</w:t>
      </w:r>
    </w:p>
    <w:p w:rsidR="00672E82" w:rsidRPr="003A7873" w:rsidRDefault="001F348E" w:rsidP="003A7873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 xml:space="preserve">doplnění vzorku domácností pro </w:t>
      </w:r>
      <w:proofErr w:type="spellStart"/>
      <w:r>
        <w:rPr>
          <w:lang w:val="cs-CZ"/>
        </w:rPr>
        <w:t>pre</w:t>
      </w:r>
      <w:proofErr w:type="spellEnd"/>
      <w:r>
        <w:rPr>
          <w:lang w:val="cs-CZ"/>
        </w:rPr>
        <w:t xml:space="preserve">-test o 25 nově náhodně vybraných domácností, dotázání těchto domácností a zpracování získaných dat. Doplnění vzorku vyžaduje objednatel z toho důvodu, že velikost opakovaně dotázaného </w:t>
      </w:r>
      <w:proofErr w:type="spellStart"/>
      <w:r>
        <w:rPr>
          <w:lang w:val="cs-CZ"/>
        </w:rPr>
        <w:t>pre</w:t>
      </w:r>
      <w:proofErr w:type="spellEnd"/>
      <w:r>
        <w:rPr>
          <w:lang w:val="cs-CZ"/>
        </w:rPr>
        <w:t xml:space="preserve">-test </w:t>
      </w:r>
      <w:r w:rsidR="00DB3669">
        <w:rPr>
          <w:lang w:val="cs-CZ"/>
        </w:rPr>
        <w:t>souboru poklesla</w:t>
      </w:r>
      <w:r>
        <w:rPr>
          <w:lang w:val="cs-CZ"/>
        </w:rPr>
        <w:t xml:space="preserve"> přiroze</w:t>
      </w:r>
      <w:r w:rsidR="00D253B4">
        <w:rPr>
          <w:lang w:val="cs-CZ"/>
        </w:rPr>
        <w:t xml:space="preserve">ným vývojem </w:t>
      </w:r>
      <w:r w:rsidR="00A26E7F">
        <w:rPr>
          <w:lang w:val="cs-CZ"/>
        </w:rPr>
        <w:t xml:space="preserve">pod úroveň </w:t>
      </w:r>
      <w:proofErr w:type="spellStart"/>
      <w:r w:rsidR="00A26E7F">
        <w:rPr>
          <w:lang w:val="cs-CZ"/>
        </w:rPr>
        <w:t>požado</w:t>
      </w:r>
      <w:proofErr w:type="spellEnd"/>
      <w:r w:rsidR="00DB3669">
        <w:rPr>
          <w:lang w:val="cs-CZ"/>
        </w:rPr>
        <w:t>-</w:t>
      </w:r>
      <w:r w:rsidR="00A26E7F">
        <w:rPr>
          <w:lang w:val="cs-CZ"/>
        </w:rPr>
        <w:t xml:space="preserve">vanou pro </w:t>
      </w:r>
      <w:r w:rsidR="00DB3669">
        <w:rPr>
          <w:lang w:val="cs-CZ"/>
        </w:rPr>
        <w:t>vyhodnocení dat</w:t>
      </w:r>
      <w:r w:rsidR="00A26E7F">
        <w:rPr>
          <w:lang w:val="cs-CZ"/>
        </w:rPr>
        <w:t>.</w:t>
      </w:r>
      <w:r w:rsidR="00672E82">
        <w:br w:type="page"/>
      </w:r>
    </w:p>
    <w:p w:rsidR="00344E38" w:rsidRPr="00344E38" w:rsidRDefault="00344E38" w:rsidP="002841D1">
      <w:pPr>
        <w:pStyle w:val="Smlouva"/>
        <w:tabs>
          <w:tab w:val="clear" w:pos="1440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344E38">
        <w:rPr>
          <w:rFonts w:asciiTheme="minorHAnsi" w:hAnsiTheme="minorHAnsi"/>
          <w:sz w:val="22"/>
          <w:szCs w:val="22"/>
        </w:rPr>
        <w:t>S ohledem na tyto okolnosti se smluvní strany dohodly na následujících úpravách smluvních podmínek:</w:t>
      </w:r>
    </w:p>
    <w:p w:rsidR="00BC5A46" w:rsidRDefault="00BC5A46" w:rsidP="00323489">
      <w:pPr>
        <w:pStyle w:val="Smlouva"/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čl. III</w:t>
      </w:r>
      <w:r w:rsidR="00770623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odst. 3.1 se </w:t>
      </w:r>
      <w:r w:rsidR="00C44655">
        <w:rPr>
          <w:rFonts w:asciiTheme="minorHAnsi" w:hAnsiTheme="minorHAnsi"/>
          <w:sz w:val="22"/>
          <w:szCs w:val="22"/>
        </w:rPr>
        <w:t xml:space="preserve">upravuje dosavadní znění či </w:t>
      </w:r>
      <w:r>
        <w:rPr>
          <w:rFonts w:asciiTheme="minorHAnsi" w:hAnsiTheme="minorHAnsi"/>
          <w:sz w:val="22"/>
          <w:szCs w:val="22"/>
        </w:rPr>
        <w:t xml:space="preserve">doplňují nové činnosti jako body </w:t>
      </w:r>
      <w:proofErr w:type="spellStart"/>
      <w:r w:rsidR="00E42913">
        <w:rPr>
          <w:rFonts w:asciiTheme="minorHAnsi" w:hAnsiTheme="minorHAnsi"/>
          <w:sz w:val="22"/>
          <w:szCs w:val="22"/>
        </w:rPr>
        <w:t>af</w:t>
      </w:r>
      <w:proofErr w:type="spellEnd"/>
      <w:r w:rsidR="00D06C36">
        <w:rPr>
          <w:rFonts w:asciiTheme="minorHAnsi" w:hAnsiTheme="minorHAnsi"/>
          <w:sz w:val="22"/>
          <w:szCs w:val="22"/>
        </w:rPr>
        <w:t xml:space="preserve">), </w:t>
      </w:r>
      <w:proofErr w:type="spellStart"/>
      <w:r w:rsidR="00D06C36">
        <w:rPr>
          <w:rFonts w:asciiTheme="minorHAnsi" w:hAnsiTheme="minorHAnsi"/>
          <w:sz w:val="22"/>
          <w:szCs w:val="22"/>
        </w:rPr>
        <w:t>a</w:t>
      </w:r>
      <w:r w:rsidR="00E42913">
        <w:rPr>
          <w:rFonts w:asciiTheme="minorHAnsi" w:hAnsiTheme="minorHAnsi"/>
          <w:sz w:val="22"/>
          <w:szCs w:val="22"/>
        </w:rPr>
        <w:t>g</w:t>
      </w:r>
      <w:proofErr w:type="spellEnd"/>
      <w:r w:rsidR="00D06C36">
        <w:rPr>
          <w:rFonts w:asciiTheme="minorHAnsi" w:hAnsiTheme="minorHAnsi"/>
          <w:sz w:val="22"/>
          <w:szCs w:val="22"/>
        </w:rPr>
        <w:t xml:space="preserve">), </w:t>
      </w:r>
      <w:proofErr w:type="spellStart"/>
      <w:r w:rsidR="00D06C36">
        <w:rPr>
          <w:rFonts w:asciiTheme="minorHAnsi" w:hAnsiTheme="minorHAnsi"/>
          <w:sz w:val="22"/>
          <w:szCs w:val="22"/>
        </w:rPr>
        <w:t>a</w:t>
      </w:r>
      <w:r w:rsidR="00E42913">
        <w:rPr>
          <w:rFonts w:asciiTheme="minorHAnsi" w:hAnsiTheme="minorHAnsi"/>
          <w:sz w:val="22"/>
          <w:szCs w:val="22"/>
        </w:rPr>
        <w:t>h</w:t>
      </w:r>
      <w:proofErr w:type="spellEnd"/>
      <w:r w:rsidR="00D06C36">
        <w:rPr>
          <w:rFonts w:asciiTheme="minorHAnsi" w:hAnsiTheme="minorHAnsi"/>
          <w:sz w:val="22"/>
          <w:szCs w:val="22"/>
        </w:rPr>
        <w:t>)</w:t>
      </w:r>
      <w:r w:rsidR="00E31F0E">
        <w:rPr>
          <w:rFonts w:asciiTheme="minorHAnsi" w:hAnsiTheme="minorHAnsi"/>
          <w:sz w:val="22"/>
          <w:szCs w:val="22"/>
        </w:rPr>
        <w:t>,</w:t>
      </w:r>
      <w:r w:rsidR="00D06C3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06C36">
        <w:rPr>
          <w:rFonts w:asciiTheme="minorHAnsi" w:hAnsiTheme="minorHAnsi"/>
          <w:sz w:val="22"/>
          <w:szCs w:val="22"/>
        </w:rPr>
        <w:t>a</w:t>
      </w:r>
      <w:r w:rsidR="005442DF">
        <w:rPr>
          <w:rFonts w:asciiTheme="minorHAnsi" w:hAnsiTheme="minorHAnsi"/>
          <w:sz w:val="22"/>
          <w:szCs w:val="22"/>
        </w:rPr>
        <w:t>i</w:t>
      </w:r>
      <w:proofErr w:type="spellEnd"/>
      <w:r w:rsidR="00D06C36">
        <w:rPr>
          <w:rFonts w:asciiTheme="minorHAnsi" w:hAnsiTheme="minorHAnsi"/>
          <w:sz w:val="22"/>
          <w:szCs w:val="22"/>
        </w:rPr>
        <w:t>)</w:t>
      </w:r>
      <w:r w:rsidR="00414BC4">
        <w:rPr>
          <w:rFonts w:asciiTheme="minorHAnsi" w:hAnsiTheme="minorHAnsi"/>
          <w:sz w:val="22"/>
          <w:szCs w:val="22"/>
        </w:rPr>
        <w:t>,</w:t>
      </w:r>
      <w:r w:rsidR="00E31F0E">
        <w:rPr>
          <w:rFonts w:asciiTheme="minorHAnsi" w:hAnsiTheme="minorHAnsi"/>
          <w:sz w:val="22"/>
          <w:szCs w:val="22"/>
        </w:rPr>
        <w:t xml:space="preserve"> aj)</w:t>
      </w:r>
      <w:r w:rsidR="001F348E">
        <w:rPr>
          <w:rFonts w:asciiTheme="minorHAnsi" w:hAnsiTheme="minorHAnsi"/>
          <w:sz w:val="22"/>
          <w:szCs w:val="22"/>
        </w:rPr>
        <w:t>,</w:t>
      </w:r>
      <w:r w:rsidR="00414BC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14BC4">
        <w:rPr>
          <w:rFonts w:asciiTheme="minorHAnsi" w:hAnsiTheme="minorHAnsi"/>
          <w:sz w:val="22"/>
          <w:szCs w:val="22"/>
        </w:rPr>
        <w:t>ak</w:t>
      </w:r>
      <w:proofErr w:type="spellEnd"/>
      <w:r w:rsidR="00414BC4">
        <w:rPr>
          <w:rFonts w:asciiTheme="minorHAnsi" w:hAnsiTheme="minorHAnsi"/>
          <w:sz w:val="22"/>
          <w:szCs w:val="22"/>
        </w:rPr>
        <w:t>)</w:t>
      </w:r>
      <w:r w:rsidR="001F348E">
        <w:rPr>
          <w:rFonts w:asciiTheme="minorHAnsi" w:hAnsiTheme="minorHAnsi"/>
          <w:sz w:val="22"/>
          <w:szCs w:val="22"/>
        </w:rPr>
        <w:t xml:space="preserve"> a al)</w:t>
      </w:r>
      <w:r w:rsidR="00D06C3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takto:</w:t>
      </w:r>
    </w:p>
    <w:p w:rsidR="00413D29" w:rsidRPr="00EB6E84" w:rsidRDefault="00E42913" w:rsidP="00EB6E84">
      <w:pPr>
        <w:ind w:left="720"/>
        <w:rPr>
          <w:rFonts w:eastAsia="Times New Roman" w:cs="Times New Roman"/>
          <w:lang w:val="cs-CZ" w:eastAsia="cs-CZ"/>
        </w:rPr>
      </w:pPr>
      <w:proofErr w:type="spellStart"/>
      <w:r>
        <w:rPr>
          <w:rFonts w:eastAsia="Times New Roman" w:cs="Times New Roman"/>
          <w:lang w:val="cs-CZ" w:eastAsia="cs-CZ"/>
        </w:rPr>
        <w:t>af</w:t>
      </w:r>
      <w:proofErr w:type="spellEnd"/>
      <w:r w:rsidR="00D06C36">
        <w:rPr>
          <w:rFonts w:eastAsia="Times New Roman" w:cs="Times New Roman"/>
          <w:lang w:val="cs-CZ" w:eastAsia="cs-CZ"/>
        </w:rPr>
        <w:t xml:space="preserve">) </w:t>
      </w:r>
      <w:r w:rsidR="00413D29" w:rsidRPr="00EB6E84">
        <w:rPr>
          <w:rFonts w:eastAsia="Times New Roman" w:cs="Times New Roman"/>
          <w:lang w:val="cs-CZ" w:eastAsia="cs-CZ"/>
        </w:rPr>
        <w:t xml:space="preserve">ve </w:t>
      </w:r>
      <w:r>
        <w:rPr>
          <w:rFonts w:eastAsia="Times New Roman" w:cs="Times New Roman"/>
          <w:lang w:val="cs-CZ" w:eastAsia="cs-CZ"/>
        </w:rPr>
        <w:t>čtvrtém</w:t>
      </w:r>
      <w:r w:rsidRPr="00EB6E84">
        <w:rPr>
          <w:rFonts w:eastAsia="Times New Roman" w:cs="Times New Roman"/>
          <w:lang w:val="cs-CZ" w:eastAsia="cs-CZ"/>
        </w:rPr>
        <w:t xml:space="preserve"> </w:t>
      </w:r>
      <w:r w:rsidR="00413D29" w:rsidRPr="00EB6E84">
        <w:rPr>
          <w:rFonts w:eastAsia="Times New Roman" w:cs="Times New Roman"/>
          <w:lang w:val="cs-CZ" w:eastAsia="cs-CZ"/>
        </w:rPr>
        <w:t>výzkumném roce tisk barevných PAPI dotazníků a jejich využití při dotazování,</w:t>
      </w:r>
    </w:p>
    <w:p w:rsidR="00413D29" w:rsidRPr="00EB6E84" w:rsidRDefault="00D06C36" w:rsidP="00EB6E84">
      <w:pPr>
        <w:ind w:left="708"/>
        <w:rPr>
          <w:rFonts w:eastAsia="Times New Roman" w:cs="Times New Roman"/>
          <w:lang w:val="cs-CZ" w:eastAsia="cs-CZ"/>
        </w:rPr>
      </w:pPr>
      <w:proofErr w:type="spellStart"/>
      <w:r>
        <w:rPr>
          <w:rFonts w:eastAsia="Times New Roman" w:cs="Times New Roman"/>
          <w:lang w:val="cs-CZ" w:eastAsia="cs-CZ"/>
        </w:rPr>
        <w:t>a</w:t>
      </w:r>
      <w:r w:rsidR="00E42913">
        <w:rPr>
          <w:rFonts w:eastAsia="Times New Roman" w:cs="Times New Roman"/>
          <w:lang w:val="cs-CZ" w:eastAsia="cs-CZ"/>
        </w:rPr>
        <w:t>g</w:t>
      </w:r>
      <w:proofErr w:type="spellEnd"/>
      <w:r>
        <w:rPr>
          <w:rFonts w:eastAsia="Times New Roman" w:cs="Times New Roman"/>
          <w:lang w:val="cs-CZ" w:eastAsia="cs-CZ"/>
        </w:rPr>
        <w:t xml:space="preserve">) </w:t>
      </w:r>
      <w:r w:rsidR="00413D29" w:rsidRPr="00EB6E84">
        <w:rPr>
          <w:rFonts w:eastAsia="Times New Roman" w:cs="Times New Roman"/>
          <w:lang w:val="cs-CZ" w:eastAsia="cs-CZ"/>
        </w:rPr>
        <w:t xml:space="preserve">ve </w:t>
      </w:r>
      <w:r w:rsidR="00E42913">
        <w:rPr>
          <w:rFonts w:eastAsia="Times New Roman" w:cs="Times New Roman"/>
          <w:lang w:val="cs-CZ" w:eastAsia="cs-CZ"/>
        </w:rPr>
        <w:t>čtvrtém</w:t>
      </w:r>
      <w:r w:rsidR="00E42913" w:rsidRPr="00EB6E84">
        <w:rPr>
          <w:rFonts w:eastAsia="Times New Roman" w:cs="Times New Roman"/>
          <w:lang w:val="cs-CZ" w:eastAsia="cs-CZ"/>
        </w:rPr>
        <w:t xml:space="preserve"> </w:t>
      </w:r>
      <w:r w:rsidR="00413D29" w:rsidRPr="00EB6E84">
        <w:rPr>
          <w:rFonts w:eastAsia="Times New Roman" w:cs="Times New Roman"/>
          <w:lang w:val="cs-CZ" w:eastAsia="cs-CZ"/>
        </w:rPr>
        <w:t>výzkumném roce zajištění výroby podpůrných materiálů pro dotazování: omalovánky pro děti a kuličkové propisovací tužky s logem projektu pro vyplňování PAPI dotazových instrumentů, a jejich využití při šetření,</w:t>
      </w:r>
    </w:p>
    <w:p w:rsidR="00413D29" w:rsidRPr="00EB6E84" w:rsidRDefault="00D06C36" w:rsidP="00EB6E84">
      <w:pPr>
        <w:ind w:left="708"/>
        <w:rPr>
          <w:rFonts w:eastAsia="Times New Roman" w:cs="Times New Roman"/>
          <w:lang w:val="cs-CZ" w:eastAsia="cs-CZ"/>
        </w:rPr>
      </w:pPr>
      <w:proofErr w:type="spellStart"/>
      <w:r>
        <w:rPr>
          <w:rFonts w:eastAsia="Times New Roman" w:cs="Times New Roman"/>
          <w:lang w:val="cs-CZ" w:eastAsia="cs-CZ"/>
        </w:rPr>
        <w:t>a</w:t>
      </w:r>
      <w:r w:rsidR="00E31F0E">
        <w:rPr>
          <w:rFonts w:eastAsia="Times New Roman" w:cs="Times New Roman"/>
          <w:lang w:val="cs-CZ" w:eastAsia="cs-CZ"/>
        </w:rPr>
        <w:t>h</w:t>
      </w:r>
      <w:proofErr w:type="spellEnd"/>
      <w:r>
        <w:rPr>
          <w:rFonts w:eastAsia="Times New Roman" w:cs="Times New Roman"/>
          <w:lang w:val="cs-CZ" w:eastAsia="cs-CZ"/>
        </w:rPr>
        <w:t xml:space="preserve">) </w:t>
      </w:r>
      <w:r w:rsidR="00413D29" w:rsidRPr="00EB6E84">
        <w:rPr>
          <w:rFonts w:eastAsia="Times New Roman" w:cs="Times New Roman"/>
          <w:lang w:val="cs-CZ" w:eastAsia="cs-CZ"/>
        </w:rPr>
        <w:t xml:space="preserve">ve </w:t>
      </w:r>
      <w:r w:rsidR="003D5544">
        <w:rPr>
          <w:rFonts w:eastAsia="Times New Roman" w:cs="Times New Roman"/>
          <w:lang w:val="cs-CZ" w:eastAsia="cs-CZ"/>
        </w:rPr>
        <w:t>čtvrtém</w:t>
      </w:r>
      <w:r w:rsidR="003D5544" w:rsidRPr="00EB6E84">
        <w:rPr>
          <w:rFonts w:eastAsia="Times New Roman" w:cs="Times New Roman"/>
          <w:lang w:val="cs-CZ" w:eastAsia="cs-CZ"/>
        </w:rPr>
        <w:t xml:space="preserve"> </w:t>
      </w:r>
      <w:r w:rsidR="00413D29" w:rsidRPr="00EB6E84">
        <w:rPr>
          <w:rFonts w:eastAsia="Times New Roman" w:cs="Times New Roman"/>
          <w:lang w:val="cs-CZ" w:eastAsia="cs-CZ"/>
        </w:rPr>
        <w:t>výzkumném roce zajištění výroby dárkových předmětů jako odměn za vyplnění PAPI dotazových instrumentů pro děti a jejich distribuce během šetření,</w:t>
      </w:r>
    </w:p>
    <w:p w:rsidR="00413D29" w:rsidRPr="00EB6E84" w:rsidRDefault="00D06C36" w:rsidP="00EB6E84">
      <w:pPr>
        <w:ind w:left="708"/>
        <w:rPr>
          <w:rFonts w:eastAsia="Times New Roman" w:cs="Times New Roman"/>
          <w:lang w:val="cs-CZ" w:eastAsia="cs-CZ"/>
        </w:rPr>
      </w:pPr>
      <w:proofErr w:type="spellStart"/>
      <w:r>
        <w:rPr>
          <w:rFonts w:eastAsia="Times New Roman" w:cs="Times New Roman"/>
          <w:lang w:val="cs-CZ" w:eastAsia="cs-CZ"/>
        </w:rPr>
        <w:t>a</w:t>
      </w:r>
      <w:r w:rsidR="00E31F0E">
        <w:rPr>
          <w:rFonts w:eastAsia="Times New Roman" w:cs="Times New Roman"/>
          <w:lang w:val="cs-CZ" w:eastAsia="cs-CZ"/>
        </w:rPr>
        <w:t>i</w:t>
      </w:r>
      <w:proofErr w:type="spellEnd"/>
      <w:r>
        <w:rPr>
          <w:rFonts w:eastAsia="Times New Roman" w:cs="Times New Roman"/>
          <w:lang w:val="cs-CZ" w:eastAsia="cs-CZ"/>
        </w:rPr>
        <w:t xml:space="preserve">) </w:t>
      </w:r>
      <w:r w:rsidR="00413D29" w:rsidRPr="00EB6E84">
        <w:rPr>
          <w:rFonts w:eastAsia="Times New Roman" w:cs="Times New Roman"/>
          <w:lang w:val="cs-CZ" w:eastAsia="cs-CZ"/>
        </w:rPr>
        <w:t xml:space="preserve">ve </w:t>
      </w:r>
      <w:r w:rsidR="00E42913">
        <w:rPr>
          <w:rFonts w:eastAsia="Times New Roman" w:cs="Times New Roman"/>
          <w:lang w:val="cs-CZ" w:eastAsia="cs-CZ"/>
        </w:rPr>
        <w:t>čtvrtém</w:t>
      </w:r>
      <w:r w:rsidR="00E42913" w:rsidRPr="00EB6E84">
        <w:rPr>
          <w:rFonts w:eastAsia="Times New Roman" w:cs="Times New Roman"/>
          <w:lang w:val="cs-CZ" w:eastAsia="cs-CZ"/>
        </w:rPr>
        <w:t xml:space="preserve"> </w:t>
      </w:r>
      <w:r w:rsidR="00413D29" w:rsidRPr="00EB6E84">
        <w:rPr>
          <w:rFonts w:eastAsia="Times New Roman" w:cs="Times New Roman"/>
          <w:lang w:val="cs-CZ" w:eastAsia="cs-CZ"/>
        </w:rPr>
        <w:t>výzkumném roce pořízení kopie formulářů pro souhlas s poskytnutím osobních údajů,</w:t>
      </w:r>
    </w:p>
    <w:p w:rsidR="00414BC4" w:rsidRDefault="00D06C36" w:rsidP="00EB6E84">
      <w:pPr>
        <w:ind w:left="708"/>
        <w:rPr>
          <w:rFonts w:eastAsia="Times New Roman" w:cs="Times New Roman"/>
          <w:lang w:val="cs-CZ" w:eastAsia="cs-CZ"/>
        </w:rPr>
      </w:pPr>
      <w:r>
        <w:rPr>
          <w:rFonts w:eastAsia="Times New Roman" w:cs="Times New Roman"/>
          <w:lang w:val="cs-CZ" w:eastAsia="cs-CZ"/>
        </w:rPr>
        <w:t>a</w:t>
      </w:r>
      <w:r w:rsidR="00E31F0E">
        <w:rPr>
          <w:rFonts w:eastAsia="Times New Roman" w:cs="Times New Roman"/>
          <w:lang w:val="cs-CZ" w:eastAsia="cs-CZ"/>
        </w:rPr>
        <w:t>j</w:t>
      </w:r>
      <w:r>
        <w:rPr>
          <w:rFonts w:eastAsia="Times New Roman" w:cs="Times New Roman"/>
          <w:lang w:val="cs-CZ" w:eastAsia="cs-CZ"/>
        </w:rPr>
        <w:t xml:space="preserve">) </w:t>
      </w:r>
      <w:r w:rsidR="00413D29" w:rsidRPr="00EB6E84">
        <w:rPr>
          <w:rFonts w:eastAsia="Times New Roman" w:cs="Times New Roman"/>
          <w:lang w:val="cs-CZ" w:eastAsia="cs-CZ"/>
        </w:rPr>
        <w:t xml:space="preserve">ve </w:t>
      </w:r>
      <w:r w:rsidR="00E42913">
        <w:rPr>
          <w:rFonts w:eastAsia="Times New Roman" w:cs="Times New Roman"/>
          <w:lang w:val="cs-CZ" w:eastAsia="cs-CZ"/>
        </w:rPr>
        <w:t>čtvrtém</w:t>
      </w:r>
      <w:r w:rsidR="00E42913" w:rsidRPr="00EB6E84">
        <w:rPr>
          <w:rFonts w:eastAsia="Times New Roman" w:cs="Times New Roman"/>
          <w:lang w:val="cs-CZ" w:eastAsia="cs-CZ"/>
        </w:rPr>
        <w:t xml:space="preserve"> </w:t>
      </w:r>
      <w:r w:rsidR="00413D29" w:rsidRPr="00EB6E84">
        <w:rPr>
          <w:rFonts w:eastAsia="Times New Roman" w:cs="Times New Roman"/>
          <w:lang w:val="cs-CZ" w:eastAsia="cs-CZ"/>
        </w:rPr>
        <w:t xml:space="preserve">výzkumném roce dotázání dodatečného počtu nejvýše </w:t>
      </w:r>
      <w:r w:rsidR="00E31F0E" w:rsidRPr="00E31F0E">
        <w:rPr>
          <w:rFonts w:eastAsia="Times New Roman" w:cs="Times New Roman"/>
          <w:lang w:val="cs-CZ" w:eastAsia="cs-CZ"/>
        </w:rPr>
        <w:t>1000</w:t>
      </w:r>
      <w:r w:rsidR="00413D29" w:rsidRPr="00EB6E84">
        <w:rPr>
          <w:rFonts w:eastAsia="Times New Roman" w:cs="Times New Roman"/>
          <w:lang w:val="cs-CZ" w:eastAsia="cs-CZ"/>
        </w:rPr>
        <w:t xml:space="preserve"> domácností (ze vzorku domácností vyšetřeného ve </w:t>
      </w:r>
      <w:r w:rsidR="00E42913">
        <w:rPr>
          <w:rFonts w:eastAsia="Times New Roman" w:cs="Times New Roman"/>
          <w:lang w:val="cs-CZ" w:eastAsia="cs-CZ"/>
        </w:rPr>
        <w:t>třetím</w:t>
      </w:r>
      <w:r w:rsidR="00E42913" w:rsidRPr="00EB6E84">
        <w:rPr>
          <w:rFonts w:eastAsia="Times New Roman" w:cs="Times New Roman"/>
          <w:lang w:val="cs-CZ" w:eastAsia="cs-CZ"/>
        </w:rPr>
        <w:t xml:space="preserve"> </w:t>
      </w:r>
      <w:r w:rsidR="00413D29" w:rsidRPr="00EB6E84">
        <w:rPr>
          <w:rFonts w:eastAsia="Times New Roman" w:cs="Times New Roman"/>
          <w:lang w:val="cs-CZ" w:eastAsia="cs-CZ"/>
        </w:rPr>
        <w:t xml:space="preserve">výzkumném roce) nad rámec minimálního počtu stanoveného pro </w:t>
      </w:r>
      <w:r w:rsidR="00E42913">
        <w:rPr>
          <w:rFonts w:eastAsia="Times New Roman" w:cs="Times New Roman"/>
          <w:lang w:val="cs-CZ" w:eastAsia="cs-CZ"/>
        </w:rPr>
        <w:t>čtvrtý</w:t>
      </w:r>
      <w:r w:rsidR="00E42913" w:rsidRPr="00EB6E84">
        <w:rPr>
          <w:rFonts w:eastAsia="Times New Roman" w:cs="Times New Roman"/>
          <w:lang w:val="cs-CZ" w:eastAsia="cs-CZ"/>
        </w:rPr>
        <w:t xml:space="preserve"> </w:t>
      </w:r>
      <w:r w:rsidR="00413D29" w:rsidRPr="00EB6E84">
        <w:rPr>
          <w:rFonts w:eastAsia="Times New Roman" w:cs="Times New Roman"/>
          <w:lang w:val="cs-CZ" w:eastAsia="cs-CZ"/>
        </w:rPr>
        <w:t xml:space="preserve">výzkumný rok. Na dodatečné domácnosti se nevztahuje procentní úprava základní ceny výzkumu a jejich výsledný počet závisí na schopnostech zhotovitele vyšetřit během stanové doby terénních </w:t>
      </w:r>
      <w:r w:rsidR="00413D29" w:rsidRPr="002D5129">
        <w:rPr>
          <w:rFonts w:eastAsia="Times New Roman" w:cs="Times New Roman"/>
          <w:lang w:val="cs-CZ" w:eastAsia="cs-CZ"/>
        </w:rPr>
        <w:t>prací domácnosti nad sjednaný minimální počet</w:t>
      </w:r>
      <w:r w:rsidR="00414BC4">
        <w:rPr>
          <w:rFonts w:eastAsia="Times New Roman" w:cs="Times New Roman"/>
          <w:lang w:val="cs-CZ" w:eastAsia="cs-CZ"/>
        </w:rPr>
        <w:t>,</w:t>
      </w:r>
    </w:p>
    <w:p w:rsidR="001F348E" w:rsidRDefault="00414BC4">
      <w:pPr>
        <w:ind w:left="708"/>
        <w:rPr>
          <w:szCs w:val="22"/>
          <w:lang w:val="cs-CZ"/>
        </w:rPr>
      </w:pPr>
      <w:proofErr w:type="spellStart"/>
      <w:r w:rsidRPr="00414BC4">
        <w:rPr>
          <w:rFonts w:eastAsia="Times New Roman" w:cs="Times New Roman"/>
          <w:lang w:val="cs-CZ" w:eastAsia="cs-CZ"/>
        </w:rPr>
        <w:t>ak</w:t>
      </w:r>
      <w:proofErr w:type="spellEnd"/>
      <w:r w:rsidRPr="00414BC4">
        <w:rPr>
          <w:rFonts w:eastAsia="Times New Roman" w:cs="Times New Roman"/>
          <w:lang w:val="cs-CZ" w:eastAsia="cs-CZ"/>
        </w:rPr>
        <w:t xml:space="preserve">) </w:t>
      </w:r>
      <w:r w:rsidRPr="003A7873">
        <w:rPr>
          <w:sz w:val="24"/>
          <w:szCs w:val="22"/>
          <w:lang w:val="cs-CZ"/>
        </w:rPr>
        <w:t xml:space="preserve">ve čtvrtém výzkumném roce </w:t>
      </w:r>
      <w:r w:rsidRPr="003A7873">
        <w:rPr>
          <w:szCs w:val="22"/>
          <w:lang w:val="cs-CZ"/>
        </w:rPr>
        <w:t>programování CAPI individuálního dotazníku přesahujícího délkou stanovený limit, jeho komplexní testování a využití při sběru dat, kontrola, čištění a verifikace dat, která byla s jeho pomocí pořízena</w:t>
      </w:r>
      <w:r w:rsidR="001F348E">
        <w:rPr>
          <w:szCs w:val="22"/>
          <w:lang w:val="cs-CZ"/>
        </w:rPr>
        <w:t>,</w:t>
      </w:r>
    </w:p>
    <w:p w:rsidR="00413D29" w:rsidRPr="002D5129" w:rsidRDefault="001F348E">
      <w:pPr>
        <w:ind w:left="708"/>
        <w:rPr>
          <w:rFonts w:eastAsia="Times New Roman" w:cs="Times New Roman"/>
          <w:lang w:val="cs-CZ" w:eastAsia="cs-CZ"/>
        </w:rPr>
      </w:pPr>
      <w:r>
        <w:rPr>
          <w:szCs w:val="22"/>
          <w:lang w:val="cs-CZ"/>
        </w:rPr>
        <w:t xml:space="preserve">al) ve čtvrtém výzkumném roce navýšení velikosti vzorku domácností pro </w:t>
      </w:r>
      <w:proofErr w:type="spellStart"/>
      <w:r>
        <w:rPr>
          <w:szCs w:val="22"/>
          <w:lang w:val="cs-CZ"/>
        </w:rPr>
        <w:t>pre</w:t>
      </w:r>
      <w:proofErr w:type="spellEnd"/>
      <w:r>
        <w:rPr>
          <w:szCs w:val="22"/>
          <w:lang w:val="cs-CZ"/>
        </w:rPr>
        <w:t xml:space="preserve">-test o 25 nově náhodně vybraných domácností, </w:t>
      </w:r>
      <w:r>
        <w:rPr>
          <w:lang w:val="cs-CZ"/>
        </w:rPr>
        <w:t>dotázání těchto domácností a zpracování získaných dat.</w:t>
      </w:r>
    </w:p>
    <w:p w:rsidR="000210EF" w:rsidRDefault="000210EF" w:rsidP="00EB6E84">
      <w:pPr>
        <w:pStyle w:val="Smlouva"/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čl. III</w:t>
      </w:r>
      <w:r w:rsidR="00770623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odst. 3.2 se </w:t>
      </w:r>
      <w:r w:rsidR="00032542">
        <w:rPr>
          <w:rFonts w:asciiTheme="minorHAnsi" w:hAnsiTheme="minorHAnsi"/>
          <w:sz w:val="22"/>
          <w:szCs w:val="22"/>
        </w:rPr>
        <w:t xml:space="preserve">dosavadní znění </w:t>
      </w:r>
      <w:r>
        <w:rPr>
          <w:rFonts w:asciiTheme="minorHAnsi" w:hAnsiTheme="minorHAnsi"/>
          <w:sz w:val="22"/>
          <w:szCs w:val="22"/>
        </w:rPr>
        <w:t>druh</w:t>
      </w:r>
      <w:r w:rsidR="00032542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 xml:space="preserve"> vět</w:t>
      </w:r>
      <w:r w:rsidR="00032542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</w:t>
      </w:r>
      <w:r w:rsidR="00032542">
        <w:rPr>
          <w:rFonts w:asciiTheme="minorHAnsi" w:hAnsiTheme="minorHAnsi"/>
          <w:sz w:val="22"/>
          <w:szCs w:val="22"/>
        </w:rPr>
        <w:t>nahrazuje takto</w:t>
      </w:r>
      <w:r>
        <w:rPr>
          <w:rFonts w:asciiTheme="minorHAnsi" w:hAnsiTheme="minorHAnsi"/>
          <w:sz w:val="22"/>
          <w:szCs w:val="22"/>
        </w:rPr>
        <w:t>:</w:t>
      </w:r>
    </w:p>
    <w:p w:rsidR="000210EF" w:rsidRDefault="000210EF" w:rsidP="00323489">
      <w:pPr>
        <w:pStyle w:val="Smlouva"/>
        <w:tabs>
          <w:tab w:val="clear" w:pos="1440"/>
        </w:tabs>
        <w:spacing w:after="12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Dodatečné práce a odlišnosti provedení požadované objednatelem jsou uvedeny v</w:t>
      </w:r>
      <w:r w:rsidR="004651FE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dodat</w:t>
      </w:r>
      <w:r w:rsidR="003A41CD">
        <w:rPr>
          <w:rFonts w:asciiTheme="minorHAnsi" w:hAnsiTheme="minorHAnsi"/>
          <w:sz w:val="22"/>
          <w:szCs w:val="22"/>
        </w:rPr>
        <w:t>cích</w:t>
      </w:r>
      <w:r w:rsidR="004651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 metodice, kter</w:t>
      </w:r>
      <w:r w:rsidR="003A41CD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 xml:space="preserve"> j</w:t>
      </w:r>
      <w:r w:rsidR="003A41CD">
        <w:rPr>
          <w:rFonts w:asciiTheme="minorHAnsi" w:hAnsiTheme="minorHAnsi"/>
          <w:sz w:val="22"/>
          <w:szCs w:val="22"/>
        </w:rPr>
        <w:t>sou</w:t>
      </w:r>
      <w:r>
        <w:rPr>
          <w:rFonts w:asciiTheme="minorHAnsi" w:hAnsiTheme="minorHAnsi"/>
          <w:sz w:val="22"/>
          <w:szCs w:val="22"/>
        </w:rPr>
        <w:t xml:space="preserve"> součástí </w:t>
      </w:r>
      <w:r w:rsidR="002841D1">
        <w:rPr>
          <w:rFonts w:asciiTheme="minorHAnsi" w:hAnsiTheme="minorHAnsi"/>
          <w:sz w:val="22"/>
          <w:szCs w:val="22"/>
        </w:rPr>
        <w:t>dodatk</w:t>
      </w:r>
      <w:r w:rsidR="003A41CD">
        <w:rPr>
          <w:rFonts w:asciiTheme="minorHAnsi" w:hAnsiTheme="minorHAnsi"/>
          <w:sz w:val="22"/>
          <w:szCs w:val="22"/>
        </w:rPr>
        <w:t>ů</w:t>
      </w:r>
      <w:r w:rsidR="00032542">
        <w:rPr>
          <w:rFonts w:asciiTheme="minorHAnsi" w:hAnsiTheme="minorHAnsi"/>
          <w:sz w:val="22"/>
          <w:szCs w:val="22"/>
        </w:rPr>
        <w:t xml:space="preserve"> </w:t>
      </w:r>
      <w:r w:rsidR="003970D4">
        <w:rPr>
          <w:rFonts w:asciiTheme="minorHAnsi" w:hAnsiTheme="minorHAnsi"/>
          <w:sz w:val="22"/>
          <w:szCs w:val="22"/>
        </w:rPr>
        <w:t xml:space="preserve">č. </w:t>
      </w:r>
      <w:r w:rsidR="003A41CD">
        <w:rPr>
          <w:rFonts w:asciiTheme="minorHAnsi" w:hAnsiTheme="minorHAnsi"/>
          <w:sz w:val="22"/>
          <w:szCs w:val="22"/>
        </w:rPr>
        <w:t>1, č. 2</w:t>
      </w:r>
      <w:r w:rsidR="00E42913">
        <w:rPr>
          <w:rFonts w:asciiTheme="minorHAnsi" w:hAnsiTheme="minorHAnsi"/>
          <w:sz w:val="22"/>
          <w:szCs w:val="22"/>
        </w:rPr>
        <w:t>,</w:t>
      </w:r>
      <w:r w:rsidR="003A41CD">
        <w:rPr>
          <w:rFonts w:asciiTheme="minorHAnsi" w:hAnsiTheme="minorHAnsi"/>
          <w:sz w:val="22"/>
          <w:szCs w:val="22"/>
        </w:rPr>
        <w:t xml:space="preserve"> </w:t>
      </w:r>
      <w:r w:rsidR="00032542">
        <w:rPr>
          <w:rFonts w:asciiTheme="minorHAnsi" w:hAnsiTheme="minorHAnsi"/>
          <w:sz w:val="22"/>
          <w:szCs w:val="22"/>
        </w:rPr>
        <w:t xml:space="preserve">č. </w:t>
      </w:r>
      <w:r w:rsidR="002841D1">
        <w:rPr>
          <w:rFonts w:asciiTheme="minorHAnsi" w:hAnsiTheme="minorHAnsi"/>
          <w:sz w:val="22"/>
          <w:szCs w:val="22"/>
        </w:rPr>
        <w:t>3</w:t>
      </w:r>
      <w:r w:rsidR="00E42913">
        <w:rPr>
          <w:rFonts w:asciiTheme="minorHAnsi" w:hAnsiTheme="minorHAnsi"/>
          <w:sz w:val="22"/>
          <w:szCs w:val="22"/>
        </w:rPr>
        <w:t>, č. 4 a č. 5</w:t>
      </w:r>
      <w:r>
        <w:rPr>
          <w:rFonts w:asciiTheme="minorHAnsi" w:hAnsiTheme="minorHAnsi"/>
          <w:sz w:val="22"/>
          <w:szCs w:val="22"/>
        </w:rPr>
        <w:t xml:space="preserve"> ke smlouvě jako příloh</w:t>
      </w:r>
      <w:r w:rsidR="003A41CD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č. 1.</w:t>
      </w:r>
    </w:p>
    <w:p w:rsidR="00D07E20" w:rsidRDefault="00D07E20" w:rsidP="00D07E20">
      <w:pPr>
        <w:pStyle w:val="Smlouva"/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čl. VII. odst. 7.1 písm. </w:t>
      </w:r>
      <w:r w:rsidR="004A3DCA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>) se nahrazuje tímto zněním:</w:t>
      </w:r>
    </w:p>
    <w:p w:rsidR="00D07E20" w:rsidRDefault="00D07E20" w:rsidP="00323489">
      <w:pPr>
        <w:pStyle w:val="Smlouva"/>
        <w:tabs>
          <w:tab w:val="clear" w:pos="1440"/>
        </w:tabs>
        <w:spacing w:after="12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4A3DCA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>) základní cena za výzkum ve výzkumném roce 201</w:t>
      </w:r>
      <w:r w:rsidR="00E42913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– </w:t>
      </w:r>
      <w:r w:rsidR="00D253B4">
        <w:rPr>
          <w:rFonts w:asciiTheme="minorHAnsi" w:hAnsiTheme="minorHAnsi"/>
          <w:sz w:val="22"/>
          <w:szCs w:val="22"/>
        </w:rPr>
        <w:t>6 4</w:t>
      </w:r>
      <w:r w:rsidR="00E31F0E" w:rsidRPr="003A7873">
        <w:rPr>
          <w:rFonts w:asciiTheme="minorHAnsi" w:hAnsiTheme="minorHAnsi"/>
          <w:sz w:val="22"/>
          <w:szCs w:val="22"/>
        </w:rPr>
        <w:t>07</w:t>
      </w:r>
      <w:r w:rsidR="000547D6" w:rsidRPr="00717759">
        <w:rPr>
          <w:rFonts w:asciiTheme="minorHAnsi" w:hAnsiTheme="minorHAnsi"/>
          <w:sz w:val="22"/>
          <w:szCs w:val="22"/>
        </w:rPr>
        <w:t xml:space="preserve"> 000</w:t>
      </w:r>
      <w:r>
        <w:rPr>
          <w:rFonts w:asciiTheme="minorHAnsi" w:hAnsiTheme="minorHAnsi"/>
          <w:sz w:val="22"/>
          <w:szCs w:val="22"/>
        </w:rPr>
        <w:t>,- Kč</w:t>
      </w:r>
      <w:r w:rsidR="00491333">
        <w:rPr>
          <w:rFonts w:asciiTheme="minorHAnsi" w:hAnsiTheme="minorHAnsi"/>
          <w:sz w:val="22"/>
          <w:szCs w:val="22"/>
        </w:rPr>
        <w:t xml:space="preserve">. </w:t>
      </w:r>
    </w:p>
    <w:p w:rsidR="00344E38" w:rsidRPr="00947CBF" w:rsidRDefault="00344E38" w:rsidP="00344E38">
      <w:pPr>
        <w:pStyle w:val="Smlouva"/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947CBF">
        <w:rPr>
          <w:rFonts w:asciiTheme="minorHAnsi" w:hAnsiTheme="minorHAnsi"/>
          <w:sz w:val="22"/>
          <w:szCs w:val="22"/>
        </w:rPr>
        <w:t>V čl. VII. odst. 7.2 se dosavadní znění nahrazuje takto:</w:t>
      </w:r>
    </w:p>
    <w:p w:rsidR="00344E38" w:rsidRDefault="00344E38" w:rsidP="00344E38">
      <w:pPr>
        <w:pStyle w:val="Smlouva"/>
        <w:tabs>
          <w:tab w:val="clear" w:pos="1440"/>
        </w:tabs>
        <w:spacing w:after="120"/>
        <w:ind w:left="360"/>
        <w:jc w:val="both"/>
        <w:rPr>
          <w:rFonts w:asciiTheme="minorHAnsi" w:hAnsiTheme="minorHAnsi"/>
          <w:sz w:val="22"/>
          <w:szCs w:val="22"/>
        </w:rPr>
      </w:pPr>
      <w:r w:rsidRPr="00947CBF">
        <w:rPr>
          <w:rFonts w:asciiTheme="minorHAnsi" w:hAnsiTheme="minorHAnsi"/>
          <w:sz w:val="22"/>
          <w:szCs w:val="22"/>
        </w:rPr>
        <w:t>Podrobně je základní cena za výzkum včetně rozšíření ve výzkumných letech 2015</w:t>
      </w:r>
      <w:r>
        <w:rPr>
          <w:rFonts w:asciiTheme="minorHAnsi" w:hAnsiTheme="minorHAnsi"/>
          <w:sz w:val="22"/>
          <w:szCs w:val="22"/>
        </w:rPr>
        <w:t>,</w:t>
      </w:r>
      <w:r w:rsidRPr="00947CBF">
        <w:rPr>
          <w:rFonts w:asciiTheme="minorHAnsi" w:hAnsiTheme="minorHAnsi"/>
          <w:sz w:val="22"/>
          <w:szCs w:val="22"/>
        </w:rPr>
        <w:t xml:space="preserve"> 2016</w:t>
      </w:r>
      <w:r w:rsidR="00E4291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2017</w:t>
      </w:r>
      <w:r w:rsidR="00E42913">
        <w:rPr>
          <w:rFonts w:asciiTheme="minorHAnsi" w:hAnsiTheme="minorHAnsi"/>
          <w:sz w:val="22"/>
          <w:szCs w:val="22"/>
        </w:rPr>
        <w:t xml:space="preserve"> a 2018</w:t>
      </w:r>
      <w:r w:rsidRPr="00947CBF">
        <w:rPr>
          <w:rFonts w:asciiTheme="minorHAnsi" w:hAnsiTheme="minorHAnsi"/>
          <w:sz w:val="22"/>
          <w:szCs w:val="22"/>
        </w:rPr>
        <w:t xml:space="preserve"> uvedena v cenových tabulkách, které tvoří nedílnou součást dodatk</w:t>
      </w:r>
      <w:r>
        <w:rPr>
          <w:rFonts w:asciiTheme="minorHAnsi" w:hAnsiTheme="minorHAnsi"/>
          <w:sz w:val="22"/>
          <w:szCs w:val="22"/>
        </w:rPr>
        <w:t xml:space="preserve">ů č. 1, </w:t>
      </w:r>
      <w:r w:rsidRPr="00947CBF">
        <w:rPr>
          <w:rFonts w:asciiTheme="minorHAnsi" w:hAnsiTheme="minorHAnsi"/>
          <w:sz w:val="22"/>
          <w:szCs w:val="22"/>
        </w:rPr>
        <w:t>č. 2</w:t>
      </w:r>
      <w:r w:rsidR="00E4291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č. 3</w:t>
      </w:r>
      <w:r w:rsidR="00E42913">
        <w:rPr>
          <w:rFonts w:asciiTheme="minorHAnsi" w:hAnsiTheme="minorHAnsi"/>
          <w:sz w:val="22"/>
          <w:szCs w:val="22"/>
        </w:rPr>
        <w:t>, č. 4 a č. 5</w:t>
      </w:r>
      <w:r>
        <w:rPr>
          <w:rFonts w:asciiTheme="minorHAnsi" w:hAnsiTheme="minorHAnsi"/>
          <w:sz w:val="22"/>
          <w:szCs w:val="22"/>
        </w:rPr>
        <w:t xml:space="preserve"> </w:t>
      </w:r>
      <w:r w:rsidRPr="00947CBF">
        <w:rPr>
          <w:rFonts w:asciiTheme="minorHAnsi" w:hAnsiTheme="minorHAnsi"/>
          <w:sz w:val="22"/>
          <w:szCs w:val="22"/>
        </w:rPr>
        <w:t xml:space="preserve">ke smlouvě </w:t>
      </w:r>
      <w:r w:rsidR="00A61614">
        <w:rPr>
          <w:rFonts w:asciiTheme="minorHAnsi" w:hAnsiTheme="minorHAnsi"/>
          <w:sz w:val="22"/>
          <w:szCs w:val="22"/>
        </w:rPr>
        <w:t>jako přílohy č. 2 a </w:t>
      </w:r>
      <w:r w:rsidRPr="00947CBF">
        <w:rPr>
          <w:rFonts w:asciiTheme="minorHAnsi" w:hAnsiTheme="minorHAnsi"/>
          <w:sz w:val="22"/>
          <w:szCs w:val="22"/>
        </w:rPr>
        <w:t>nahrazují původní cenovou tabulku.</w:t>
      </w:r>
    </w:p>
    <w:p w:rsidR="000E6C74" w:rsidRDefault="000547D6" w:rsidP="000E6C74">
      <w:pPr>
        <w:pStyle w:val="Smlouva"/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č. VII. odst. 7.14</w:t>
      </w:r>
      <w:r w:rsidR="000E6C74">
        <w:rPr>
          <w:rFonts w:asciiTheme="minorHAnsi" w:hAnsiTheme="minorHAnsi"/>
          <w:sz w:val="22"/>
          <w:szCs w:val="22"/>
        </w:rPr>
        <w:t xml:space="preserve"> se dosavadní znění nahrazuje takto:</w:t>
      </w:r>
    </w:p>
    <w:p w:rsidR="000E6C74" w:rsidRDefault="000E6C74">
      <w:pPr>
        <w:pStyle w:val="Smlouva"/>
        <w:tabs>
          <w:tab w:val="clear" w:pos="1440"/>
        </w:tabs>
        <w:spacing w:after="12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5E0A6B">
        <w:rPr>
          <w:rFonts w:asciiTheme="minorHAnsi" w:hAnsiTheme="minorHAnsi"/>
          <w:sz w:val="22"/>
          <w:szCs w:val="22"/>
        </w:rPr>
        <w:t> ohledem na čas uzavření dodatků</w:t>
      </w:r>
      <w:r>
        <w:rPr>
          <w:rFonts w:asciiTheme="minorHAnsi" w:hAnsiTheme="minorHAnsi"/>
          <w:sz w:val="22"/>
          <w:szCs w:val="22"/>
        </w:rPr>
        <w:t>, kterým</w:t>
      </w:r>
      <w:r w:rsidR="005E0A6B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 došlo k dohodě stran</w:t>
      </w:r>
      <w:r w:rsidR="005E0A6B">
        <w:rPr>
          <w:rFonts w:asciiTheme="minorHAnsi" w:hAnsiTheme="minorHAnsi"/>
          <w:sz w:val="22"/>
          <w:szCs w:val="22"/>
        </w:rPr>
        <w:t xml:space="preserve"> o úpravě ceny díla pro výzkumné</w:t>
      </w:r>
      <w:r>
        <w:rPr>
          <w:rFonts w:asciiTheme="minorHAnsi" w:hAnsiTheme="minorHAnsi"/>
          <w:sz w:val="22"/>
          <w:szCs w:val="22"/>
        </w:rPr>
        <w:t xml:space="preserve"> rok</w:t>
      </w:r>
      <w:r w:rsidR="005E0A6B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2017 a 2018,</w:t>
      </w:r>
      <w:r w:rsidR="008E4F79">
        <w:rPr>
          <w:rFonts w:asciiTheme="minorHAnsi" w:hAnsiTheme="minorHAnsi"/>
          <w:sz w:val="22"/>
          <w:szCs w:val="22"/>
        </w:rPr>
        <w:t xml:space="preserve"> byly uhrazeny první platby</w:t>
      </w:r>
      <w:r>
        <w:rPr>
          <w:rFonts w:asciiTheme="minorHAnsi" w:hAnsiTheme="minorHAnsi"/>
          <w:sz w:val="22"/>
          <w:szCs w:val="22"/>
        </w:rPr>
        <w:t xml:space="preserve"> na částku 30 % původní základní ceny za výzkum v </w:t>
      </w:r>
      <w:r w:rsidR="005E0A6B">
        <w:rPr>
          <w:rFonts w:asciiTheme="minorHAnsi" w:hAnsiTheme="minorHAnsi"/>
          <w:sz w:val="22"/>
          <w:szCs w:val="22"/>
        </w:rPr>
        <w:t>letech</w:t>
      </w:r>
      <w:r>
        <w:rPr>
          <w:rFonts w:asciiTheme="minorHAnsi" w:hAnsiTheme="minorHAnsi"/>
          <w:sz w:val="22"/>
          <w:szCs w:val="22"/>
        </w:rPr>
        <w:t xml:space="preserve"> 2017 a 2018 a v druhé platbě budou zohledněny úpravy této základní ceny sjednané dodatky č. 3 a č. 5.</w:t>
      </w:r>
    </w:p>
    <w:p w:rsidR="00E42913" w:rsidRDefault="00E42913" w:rsidP="003A7873">
      <w:pPr>
        <w:pStyle w:val="Smlouva"/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č. VII. </w:t>
      </w:r>
      <w:r w:rsidR="000E6C74">
        <w:rPr>
          <w:rFonts w:asciiTheme="minorHAnsi" w:hAnsiTheme="minorHAnsi"/>
          <w:sz w:val="22"/>
          <w:szCs w:val="22"/>
        </w:rPr>
        <w:t xml:space="preserve">odst. 7.15 </w:t>
      </w:r>
      <w:r>
        <w:rPr>
          <w:rFonts w:asciiTheme="minorHAnsi" w:hAnsiTheme="minorHAnsi"/>
          <w:sz w:val="22"/>
          <w:szCs w:val="22"/>
        </w:rPr>
        <w:t>se dosavadní znění čtvrté věty nahrazuje takto:</w:t>
      </w:r>
    </w:p>
    <w:p w:rsidR="00E42913" w:rsidRDefault="00E42913">
      <w:pPr>
        <w:pStyle w:val="Smlouva"/>
        <w:tabs>
          <w:tab w:val="clear" w:pos="1440"/>
        </w:tabs>
        <w:spacing w:after="12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Způsob výpočtu výše odměny je sjednán v Příloze č. 2, která je nedílnou součástí dodatků č. 3 a č. 5.</w:t>
      </w:r>
    </w:p>
    <w:p w:rsidR="009A1355" w:rsidRPr="006A06CA" w:rsidRDefault="006A06CA" w:rsidP="00EB6E84">
      <w:pPr>
        <w:pStyle w:val="Smlouva"/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Ten</w:t>
      </w:r>
      <w:r w:rsidR="009A1355" w:rsidRPr="006A06CA">
        <w:rPr>
          <w:rFonts w:asciiTheme="minorHAnsi" w:hAnsiTheme="minorHAnsi"/>
          <w:sz w:val="22"/>
          <w:szCs w:val="22"/>
        </w:rPr>
        <w:t xml:space="preserve">to </w:t>
      </w:r>
      <w:r>
        <w:rPr>
          <w:rFonts w:asciiTheme="minorHAnsi" w:hAnsiTheme="minorHAnsi"/>
          <w:sz w:val="22"/>
          <w:szCs w:val="22"/>
        </w:rPr>
        <w:t>dodatek</w:t>
      </w:r>
      <w:r w:rsidR="009A1355" w:rsidRPr="006A06CA">
        <w:rPr>
          <w:rFonts w:asciiTheme="minorHAnsi" w:hAnsiTheme="minorHAnsi"/>
          <w:sz w:val="22"/>
          <w:szCs w:val="22"/>
        </w:rPr>
        <w:t xml:space="preserve"> je uzavřen</w:t>
      </w:r>
      <w:r>
        <w:rPr>
          <w:rFonts w:asciiTheme="minorHAnsi" w:hAnsiTheme="minorHAnsi"/>
          <w:sz w:val="22"/>
          <w:szCs w:val="22"/>
        </w:rPr>
        <w:t xml:space="preserve"> a nabývá </w:t>
      </w:r>
      <w:r w:rsidR="00937C23">
        <w:rPr>
          <w:rFonts w:asciiTheme="minorHAnsi" w:hAnsiTheme="minorHAnsi"/>
          <w:sz w:val="22"/>
          <w:szCs w:val="22"/>
        </w:rPr>
        <w:t xml:space="preserve">platnosti </w:t>
      </w:r>
      <w:r>
        <w:rPr>
          <w:rFonts w:asciiTheme="minorHAnsi" w:hAnsiTheme="minorHAnsi"/>
          <w:sz w:val="22"/>
          <w:szCs w:val="22"/>
        </w:rPr>
        <w:t>dnem</w:t>
      </w:r>
      <w:r w:rsidR="009A1355" w:rsidRPr="006A06CA">
        <w:rPr>
          <w:rFonts w:asciiTheme="minorHAnsi" w:hAnsiTheme="minorHAnsi"/>
          <w:sz w:val="22"/>
          <w:szCs w:val="22"/>
        </w:rPr>
        <w:t xml:space="preserve"> p</w:t>
      </w:r>
      <w:r w:rsidR="00937C23">
        <w:rPr>
          <w:rFonts w:asciiTheme="minorHAnsi" w:hAnsiTheme="minorHAnsi"/>
          <w:sz w:val="22"/>
          <w:szCs w:val="22"/>
        </w:rPr>
        <w:t>odpisu oběma smluvními stranami a účinnosti dnem uveřejnění v registru smluv.</w:t>
      </w:r>
    </w:p>
    <w:p w:rsidR="009A1355" w:rsidRPr="006A06CA" w:rsidRDefault="006A06CA" w:rsidP="00EB6E84">
      <w:pPr>
        <w:pStyle w:val="Smlouva"/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6A06CA">
        <w:rPr>
          <w:rFonts w:asciiTheme="minorHAnsi" w:hAnsiTheme="minorHAnsi"/>
          <w:sz w:val="22"/>
          <w:szCs w:val="22"/>
        </w:rPr>
        <w:t xml:space="preserve">Tento dodatek </w:t>
      </w:r>
      <w:r w:rsidR="009A1355" w:rsidRPr="006A06CA">
        <w:rPr>
          <w:rFonts w:asciiTheme="minorHAnsi" w:hAnsiTheme="minorHAnsi"/>
          <w:sz w:val="22"/>
          <w:szCs w:val="22"/>
        </w:rPr>
        <w:t xml:space="preserve">je vyhotoven ve </w:t>
      </w:r>
      <w:r w:rsidR="00AF3236" w:rsidRPr="006A06CA">
        <w:rPr>
          <w:rFonts w:asciiTheme="minorHAnsi" w:hAnsiTheme="minorHAnsi"/>
          <w:sz w:val="22"/>
          <w:szCs w:val="22"/>
        </w:rPr>
        <w:t>třech</w:t>
      </w:r>
      <w:r w:rsidR="009A1355" w:rsidRPr="006A06CA">
        <w:rPr>
          <w:rFonts w:asciiTheme="minorHAnsi" w:hAnsiTheme="minorHAnsi"/>
          <w:sz w:val="22"/>
          <w:szCs w:val="22"/>
        </w:rPr>
        <w:t xml:space="preserve"> výtiscích, každý má právní sílu originálu a každ</w:t>
      </w:r>
      <w:r w:rsidR="00AF3236" w:rsidRPr="006A06CA">
        <w:rPr>
          <w:rFonts w:asciiTheme="minorHAnsi" w:hAnsiTheme="minorHAnsi"/>
          <w:sz w:val="22"/>
          <w:szCs w:val="22"/>
        </w:rPr>
        <w:t>ý účastník smlouvy</w:t>
      </w:r>
      <w:r w:rsidR="009A1355" w:rsidRPr="006A06CA">
        <w:rPr>
          <w:rFonts w:asciiTheme="minorHAnsi" w:hAnsiTheme="minorHAnsi"/>
          <w:sz w:val="22"/>
          <w:szCs w:val="22"/>
        </w:rPr>
        <w:t xml:space="preserve"> obdrží po jednom výtisku.</w:t>
      </w:r>
    </w:p>
    <w:p w:rsidR="00672E82" w:rsidRDefault="00672E82" w:rsidP="00AF3236">
      <w:pPr>
        <w:pStyle w:val="Zkladntext"/>
        <w:spacing w:before="0" w:line="240" w:lineRule="auto"/>
        <w:rPr>
          <w:szCs w:val="22"/>
          <w:lang w:val="cs-CZ"/>
        </w:rPr>
      </w:pPr>
    </w:p>
    <w:p w:rsidR="008D1F3C" w:rsidRDefault="008D1F3C" w:rsidP="00AF3236">
      <w:pPr>
        <w:pStyle w:val="Zkladntext"/>
        <w:spacing w:before="0" w:line="240" w:lineRule="auto"/>
        <w:rPr>
          <w:szCs w:val="22"/>
          <w:lang w:val="cs-CZ"/>
        </w:rPr>
      </w:pPr>
    </w:p>
    <w:p w:rsidR="008D1F3C" w:rsidRDefault="008D1F3C" w:rsidP="00AF3236">
      <w:pPr>
        <w:pStyle w:val="Zkladntext"/>
        <w:spacing w:before="0" w:line="240" w:lineRule="auto"/>
        <w:rPr>
          <w:szCs w:val="22"/>
          <w:lang w:val="cs-CZ"/>
        </w:rPr>
      </w:pPr>
    </w:p>
    <w:p w:rsidR="00672E82" w:rsidRDefault="00672E82" w:rsidP="00AF3236">
      <w:pPr>
        <w:pStyle w:val="Zkladntext"/>
        <w:spacing w:before="0" w:line="240" w:lineRule="auto"/>
        <w:rPr>
          <w:szCs w:val="22"/>
          <w:lang w:val="cs-CZ"/>
        </w:rPr>
      </w:pPr>
    </w:p>
    <w:p w:rsidR="009A1355" w:rsidRPr="00DC5410" w:rsidRDefault="00AF3236" w:rsidP="00AF3236">
      <w:pPr>
        <w:pStyle w:val="Zkladntext"/>
        <w:spacing w:before="0" w:line="240" w:lineRule="auto"/>
        <w:rPr>
          <w:szCs w:val="22"/>
          <w:lang w:val="cs-CZ"/>
        </w:rPr>
      </w:pPr>
      <w:r>
        <w:rPr>
          <w:szCs w:val="22"/>
          <w:lang w:val="cs-CZ"/>
        </w:rPr>
        <w:t xml:space="preserve">V Praze dne </w:t>
      </w:r>
      <w:r w:rsidR="00F478AA">
        <w:rPr>
          <w:szCs w:val="22"/>
          <w:lang w:val="cs-CZ"/>
        </w:rPr>
        <w:t>1</w:t>
      </w:r>
      <w:r w:rsidR="00D06C36">
        <w:rPr>
          <w:szCs w:val="22"/>
          <w:lang w:val="cs-CZ"/>
        </w:rPr>
        <w:t xml:space="preserve">. </w:t>
      </w:r>
      <w:r w:rsidR="00F478AA">
        <w:rPr>
          <w:szCs w:val="22"/>
          <w:lang w:val="cs-CZ"/>
        </w:rPr>
        <w:t>6</w:t>
      </w:r>
      <w:r w:rsidR="00D06C36">
        <w:rPr>
          <w:szCs w:val="22"/>
          <w:lang w:val="cs-CZ"/>
        </w:rPr>
        <w:t>. 201</w:t>
      </w:r>
      <w:r w:rsidR="008E4F79">
        <w:rPr>
          <w:szCs w:val="22"/>
          <w:lang w:val="cs-CZ"/>
        </w:rPr>
        <w:t>8</w:t>
      </w:r>
    </w:p>
    <w:p w:rsidR="00CC3419" w:rsidRDefault="00CC3419" w:rsidP="00AF3236">
      <w:pPr>
        <w:pStyle w:val="Zkladntext"/>
        <w:spacing w:before="0" w:after="0" w:line="240" w:lineRule="auto"/>
        <w:ind w:left="276"/>
        <w:rPr>
          <w:szCs w:val="22"/>
          <w:lang w:val="cs-CZ"/>
        </w:rPr>
        <w:sectPr w:rsidR="00CC3419" w:rsidSect="00AF3236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2127" w:right="1134" w:bottom="1418" w:left="1134" w:header="1132" w:footer="535" w:gutter="0"/>
          <w:pgNumType w:start="1"/>
          <w:cols w:space="708"/>
          <w:noEndnote/>
          <w:titlePg/>
        </w:sectPr>
      </w:pPr>
    </w:p>
    <w:p w:rsidR="00CC3419" w:rsidRDefault="00CC3419" w:rsidP="00AF3236">
      <w:pPr>
        <w:pStyle w:val="Zkladntext"/>
        <w:spacing w:before="0" w:after="0" w:line="240" w:lineRule="auto"/>
        <w:ind w:left="276"/>
        <w:rPr>
          <w:szCs w:val="22"/>
          <w:lang w:val="cs-CZ"/>
        </w:rPr>
      </w:pPr>
    </w:p>
    <w:p w:rsidR="008D1F3C" w:rsidRDefault="008D1F3C" w:rsidP="00AF3236">
      <w:pPr>
        <w:pStyle w:val="Zkladntext"/>
        <w:spacing w:before="0" w:after="0" w:line="240" w:lineRule="auto"/>
        <w:ind w:left="276"/>
        <w:rPr>
          <w:szCs w:val="22"/>
          <w:lang w:val="cs-CZ"/>
        </w:rPr>
      </w:pPr>
    </w:p>
    <w:p w:rsidR="001575A0" w:rsidRDefault="001575A0" w:rsidP="00AF3236">
      <w:pPr>
        <w:pStyle w:val="Zkladntext"/>
        <w:spacing w:before="0" w:after="0" w:line="240" w:lineRule="auto"/>
        <w:ind w:left="276"/>
        <w:rPr>
          <w:szCs w:val="22"/>
          <w:lang w:val="cs-CZ"/>
        </w:rPr>
      </w:pPr>
    </w:p>
    <w:p w:rsidR="001575A0" w:rsidRDefault="001575A0" w:rsidP="00AF3236">
      <w:pPr>
        <w:pStyle w:val="Zkladntext"/>
        <w:spacing w:before="0" w:after="0" w:line="240" w:lineRule="auto"/>
        <w:ind w:left="276"/>
        <w:rPr>
          <w:szCs w:val="22"/>
          <w:lang w:val="cs-CZ"/>
        </w:rPr>
      </w:pPr>
    </w:p>
    <w:p w:rsidR="008E4F79" w:rsidRDefault="008E4F79" w:rsidP="00AF3236">
      <w:pPr>
        <w:pStyle w:val="Zkladntext"/>
        <w:spacing w:before="0" w:after="0" w:line="240" w:lineRule="auto"/>
        <w:ind w:left="276"/>
        <w:rPr>
          <w:szCs w:val="22"/>
          <w:lang w:val="cs-CZ"/>
        </w:rPr>
      </w:pPr>
    </w:p>
    <w:p w:rsidR="00CC3419" w:rsidRDefault="00CC3419" w:rsidP="00AF3236">
      <w:pPr>
        <w:pStyle w:val="Zkladntext"/>
        <w:spacing w:before="0" w:after="0" w:line="240" w:lineRule="auto"/>
        <w:ind w:left="276"/>
        <w:rPr>
          <w:szCs w:val="22"/>
          <w:lang w:val="cs-CZ"/>
        </w:rPr>
      </w:pPr>
    </w:p>
    <w:p w:rsidR="009A1355" w:rsidRDefault="009A1355" w:rsidP="00AF3236">
      <w:pPr>
        <w:pStyle w:val="Zkladntext"/>
        <w:spacing w:before="0" w:after="0" w:line="240" w:lineRule="auto"/>
        <w:ind w:left="276"/>
        <w:rPr>
          <w:szCs w:val="22"/>
          <w:lang w:val="cs-CZ"/>
        </w:rPr>
      </w:pPr>
      <w:r w:rsidRPr="00DC5410">
        <w:rPr>
          <w:szCs w:val="22"/>
          <w:lang w:val="cs-CZ"/>
        </w:rPr>
        <w:t>………………………………………</w:t>
      </w:r>
    </w:p>
    <w:p w:rsidR="00CC3419" w:rsidRDefault="00CC3419" w:rsidP="00CC3419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  <w:r w:rsidRPr="00AF3236">
        <w:rPr>
          <w:bCs/>
          <w:szCs w:val="22"/>
          <w:lang w:val="cs-CZ"/>
        </w:rPr>
        <w:t xml:space="preserve">RNDr. Tomáš Kostelecký, CSc., </w:t>
      </w:r>
    </w:p>
    <w:p w:rsidR="00CC3419" w:rsidRDefault="00491333" w:rsidP="00CC3419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  <w:r>
        <w:rPr>
          <w:bCs/>
          <w:szCs w:val="22"/>
          <w:lang w:val="cs-CZ"/>
        </w:rPr>
        <w:t>ř</w:t>
      </w:r>
      <w:r w:rsidR="00CC3419" w:rsidRPr="00AF3236">
        <w:rPr>
          <w:bCs/>
          <w:szCs w:val="22"/>
          <w:lang w:val="cs-CZ"/>
        </w:rPr>
        <w:t>editel</w:t>
      </w:r>
    </w:p>
    <w:p w:rsidR="00CC3419" w:rsidRDefault="00CC3419" w:rsidP="00AF3236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  <w:r w:rsidRPr="000465E9">
        <w:rPr>
          <w:bCs/>
          <w:szCs w:val="22"/>
          <w:lang w:val="cs-CZ"/>
        </w:rPr>
        <w:t xml:space="preserve">Sociologický ústav AV ČR, </w:t>
      </w:r>
      <w:proofErr w:type="spellStart"/>
      <w:proofErr w:type="gramStart"/>
      <w:r w:rsidRPr="000465E9">
        <w:rPr>
          <w:bCs/>
          <w:szCs w:val="22"/>
          <w:lang w:val="cs-CZ"/>
        </w:rPr>
        <w:t>v.v.</w:t>
      </w:r>
      <w:proofErr w:type="gramEnd"/>
      <w:r w:rsidRPr="000465E9">
        <w:rPr>
          <w:bCs/>
          <w:szCs w:val="22"/>
          <w:lang w:val="cs-CZ"/>
        </w:rPr>
        <w:t>i</w:t>
      </w:r>
      <w:proofErr w:type="spellEnd"/>
      <w:r w:rsidRPr="000465E9">
        <w:rPr>
          <w:bCs/>
          <w:szCs w:val="22"/>
          <w:lang w:val="cs-CZ"/>
        </w:rPr>
        <w:t>.</w:t>
      </w:r>
      <w:r>
        <w:rPr>
          <w:bCs/>
          <w:szCs w:val="22"/>
          <w:lang w:val="cs-CZ"/>
        </w:rPr>
        <w:br w:type="column"/>
      </w:r>
    </w:p>
    <w:p w:rsidR="008D1F3C" w:rsidRDefault="008D1F3C" w:rsidP="00AF3236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</w:p>
    <w:p w:rsidR="001575A0" w:rsidRDefault="001575A0" w:rsidP="00AF3236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</w:p>
    <w:p w:rsidR="001575A0" w:rsidRDefault="001575A0" w:rsidP="00AF3236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</w:p>
    <w:p w:rsidR="008E4F79" w:rsidRDefault="008E4F79" w:rsidP="00AF3236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</w:p>
    <w:p w:rsidR="00CC3419" w:rsidRDefault="00CC3419" w:rsidP="00AF3236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</w:p>
    <w:p w:rsidR="00CC3419" w:rsidRDefault="00CC3419" w:rsidP="00CC3419">
      <w:pPr>
        <w:pStyle w:val="Zkladntext"/>
        <w:spacing w:before="0" w:after="0" w:line="240" w:lineRule="auto"/>
        <w:ind w:left="276"/>
        <w:rPr>
          <w:szCs w:val="22"/>
          <w:lang w:val="cs-CZ"/>
        </w:rPr>
      </w:pPr>
      <w:r w:rsidRPr="00DC5410">
        <w:rPr>
          <w:szCs w:val="22"/>
          <w:lang w:val="cs-CZ"/>
        </w:rPr>
        <w:t>………………………………………</w:t>
      </w:r>
    </w:p>
    <w:p w:rsidR="00CC3419" w:rsidRDefault="009A1355" w:rsidP="00AF3236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  <w:r>
        <w:rPr>
          <w:bCs/>
          <w:szCs w:val="22"/>
          <w:lang w:val="cs-CZ"/>
        </w:rPr>
        <w:t>Jan Tuček</w:t>
      </w:r>
    </w:p>
    <w:p w:rsidR="009A1355" w:rsidRDefault="009A1355" w:rsidP="00AF3236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  <w:r>
        <w:rPr>
          <w:bCs/>
          <w:szCs w:val="22"/>
          <w:lang w:val="cs-CZ"/>
        </w:rPr>
        <w:t>ředitel a prokurista</w:t>
      </w:r>
    </w:p>
    <w:p w:rsidR="009A1355" w:rsidRDefault="009A1355" w:rsidP="00AF3236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  <w:r>
        <w:rPr>
          <w:bCs/>
          <w:szCs w:val="22"/>
          <w:lang w:val="cs-CZ"/>
        </w:rPr>
        <w:t>STEM/MARK, a.s.</w:t>
      </w:r>
      <w:r w:rsidR="00654067">
        <w:rPr>
          <w:bCs/>
          <w:szCs w:val="22"/>
          <w:lang w:val="cs-CZ"/>
        </w:rPr>
        <w:br w:type="column"/>
      </w:r>
    </w:p>
    <w:p w:rsidR="001575A0" w:rsidRDefault="001575A0" w:rsidP="00AF3236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</w:p>
    <w:p w:rsidR="001575A0" w:rsidRDefault="001575A0" w:rsidP="00AF3236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</w:p>
    <w:p w:rsidR="008D1F3C" w:rsidRDefault="008D1F3C" w:rsidP="00AF3236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</w:p>
    <w:p w:rsidR="008E4F79" w:rsidRDefault="008E4F79" w:rsidP="00AF3236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</w:p>
    <w:p w:rsidR="00CC3419" w:rsidRPr="00DC5410" w:rsidRDefault="00CC3419" w:rsidP="00AF3236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</w:p>
    <w:p w:rsidR="00CC3419" w:rsidRDefault="00CC3419" w:rsidP="000465E9">
      <w:pPr>
        <w:pStyle w:val="Zkladntext"/>
        <w:spacing w:before="0" w:after="0" w:line="240" w:lineRule="auto"/>
        <w:rPr>
          <w:szCs w:val="22"/>
          <w:lang w:val="cs-CZ"/>
        </w:rPr>
      </w:pPr>
      <w:r w:rsidRPr="00DC5410">
        <w:rPr>
          <w:szCs w:val="22"/>
          <w:lang w:val="cs-CZ"/>
        </w:rPr>
        <w:t>………………………………………</w:t>
      </w:r>
    </w:p>
    <w:p w:rsidR="00CC3419" w:rsidRDefault="009A1355" w:rsidP="000465E9">
      <w:pPr>
        <w:pStyle w:val="Zkladntext"/>
        <w:spacing w:before="0" w:after="0" w:line="240" w:lineRule="auto"/>
        <w:jc w:val="left"/>
        <w:rPr>
          <w:bCs/>
          <w:szCs w:val="22"/>
          <w:lang w:val="cs-CZ"/>
        </w:rPr>
      </w:pPr>
      <w:r w:rsidRPr="00DC5410">
        <w:rPr>
          <w:bCs/>
          <w:szCs w:val="22"/>
          <w:lang w:val="cs-CZ"/>
        </w:rPr>
        <w:t>Přemysl Čech</w:t>
      </w:r>
    </w:p>
    <w:p w:rsidR="009A1355" w:rsidRDefault="009A1355" w:rsidP="000465E9">
      <w:pPr>
        <w:pStyle w:val="Zkladntext"/>
        <w:spacing w:before="0" w:after="0" w:line="240" w:lineRule="auto"/>
        <w:jc w:val="left"/>
        <w:rPr>
          <w:bCs/>
          <w:szCs w:val="22"/>
          <w:lang w:val="cs-CZ"/>
        </w:rPr>
      </w:pPr>
      <w:r>
        <w:rPr>
          <w:bCs/>
          <w:szCs w:val="22"/>
          <w:lang w:val="cs-CZ"/>
        </w:rPr>
        <w:t>jednatel</w:t>
      </w:r>
    </w:p>
    <w:p w:rsidR="00CC3419" w:rsidRDefault="00CC3419" w:rsidP="000465E9">
      <w:pPr>
        <w:pStyle w:val="Zkladntext"/>
        <w:spacing w:before="0" w:after="0" w:line="240" w:lineRule="auto"/>
        <w:jc w:val="left"/>
        <w:rPr>
          <w:bCs/>
          <w:szCs w:val="22"/>
          <w:lang w:val="cs-CZ"/>
        </w:rPr>
        <w:sectPr w:rsidR="00CC3419" w:rsidSect="000465E9">
          <w:type w:val="continuous"/>
          <w:pgSz w:w="11907" w:h="16840" w:code="9"/>
          <w:pgMar w:top="2127" w:right="1134" w:bottom="1418" w:left="1134" w:header="1132" w:footer="535" w:gutter="0"/>
          <w:pgNumType w:start="1"/>
          <w:cols w:num="3" w:space="284"/>
          <w:noEndnote/>
          <w:titlePg/>
        </w:sectPr>
      </w:pPr>
      <w:r>
        <w:rPr>
          <w:bCs/>
          <w:szCs w:val="22"/>
          <w:lang w:val="cs-CZ"/>
        </w:rPr>
        <w:t xml:space="preserve">MEDIAN, </w:t>
      </w:r>
      <w:proofErr w:type="spellStart"/>
      <w:proofErr w:type="gramStart"/>
      <w:r>
        <w:rPr>
          <w:bCs/>
          <w:szCs w:val="22"/>
          <w:lang w:val="cs-CZ"/>
        </w:rPr>
        <w:t>s.r.</w:t>
      </w:r>
      <w:proofErr w:type="gramEnd"/>
      <w:r>
        <w:rPr>
          <w:bCs/>
          <w:szCs w:val="22"/>
          <w:lang w:val="cs-CZ"/>
        </w:rPr>
        <w:t>o</w:t>
      </w:r>
      <w:proofErr w:type="spellEnd"/>
    </w:p>
    <w:bookmarkEnd w:id="1"/>
    <w:bookmarkEnd w:id="2"/>
    <w:bookmarkEnd w:id="3"/>
    <w:bookmarkEnd w:id="4"/>
    <w:p w:rsidR="009A1355" w:rsidRDefault="009A1355" w:rsidP="000465E9">
      <w:pPr>
        <w:pStyle w:val="Zkladntext"/>
        <w:spacing w:before="0" w:after="0" w:line="240" w:lineRule="auto"/>
        <w:jc w:val="left"/>
        <w:rPr>
          <w:bCs/>
          <w:szCs w:val="22"/>
          <w:lang w:val="cs-CZ"/>
        </w:rPr>
      </w:pPr>
    </w:p>
    <w:sectPr w:rsidR="009A1355" w:rsidSect="00CC3419">
      <w:type w:val="continuous"/>
      <w:pgSz w:w="11907" w:h="16840" w:code="9"/>
      <w:pgMar w:top="2127" w:right="1134" w:bottom="1418" w:left="1134" w:header="1132" w:footer="535" w:gutter="0"/>
      <w:pgNumType w:start="1"/>
      <w:cols w:space="708"/>
      <w:noEndnote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EE6FAC" w16cid:durableId="1D2C2F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FD4" w:rsidRDefault="00E12FD4" w:rsidP="009A1355">
      <w:pPr>
        <w:spacing w:before="0" w:after="0" w:line="240" w:lineRule="auto"/>
      </w:pPr>
      <w:r>
        <w:separator/>
      </w:r>
    </w:p>
  </w:endnote>
  <w:endnote w:type="continuationSeparator" w:id="0">
    <w:p w:rsidR="00E12FD4" w:rsidRDefault="00E12FD4" w:rsidP="009A13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46" w:rsidRPr="00C3086B" w:rsidRDefault="00BC5A46" w:rsidP="009A1355">
    <w:pPr>
      <w:pStyle w:val="Zpat"/>
      <w:tabs>
        <w:tab w:val="left" w:pos="4185"/>
        <w:tab w:val="center" w:pos="4677"/>
      </w:tabs>
      <w:rPr>
        <w:lang w:val="cs-CZ"/>
      </w:rPr>
    </w:pPr>
    <w:r w:rsidRPr="00C21E67">
      <w:rPr>
        <w:noProof/>
        <w:lang w:val="cs-CZ" w:eastAsia="cs-CZ" w:bidi="ar-SA"/>
      </w:rPr>
      <w:drawing>
        <wp:anchor distT="0" distB="0" distL="114300" distR="180340" simplePos="0" relativeHeight="251659264" behindDoc="0" locked="0" layoutInCell="1" allowOverlap="1" wp14:anchorId="4A43DE39" wp14:editId="28B10A53">
          <wp:simplePos x="0" y="0"/>
          <wp:positionH relativeFrom="column">
            <wp:posOffset>-111125</wp:posOffset>
          </wp:positionH>
          <wp:positionV relativeFrom="paragraph">
            <wp:posOffset>32385</wp:posOffset>
          </wp:positionV>
          <wp:extent cx="572770" cy="464820"/>
          <wp:effectExtent l="0" t="0" r="0" b="0"/>
          <wp:wrapSquare wrapText="bothSides"/>
          <wp:docPr id="48" name="obrázek 2" descr="S_MODR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_MODRY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1E67">
      <w:rPr>
        <w:noProof/>
        <w:lang w:val="cs-CZ" w:eastAsia="cs-CZ" w:bidi="ar-SA"/>
      </w:rPr>
      <w:drawing>
        <wp:anchor distT="0" distB="0" distL="114300" distR="114300" simplePos="0" relativeHeight="251660288" behindDoc="0" locked="0" layoutInCell="0" allowOverlap="1" wp14:anchorId="2AE5CEEC" wp14:editId="4D3FF320">
          <wp:simplePos x="0" y="0"/>
          <wp:positionH relativeFrom="column">
            <wp:posOffset>811530</wp:posOffset>
          </wp:positionH>
          <wp:positionV relativeFrom="page">
            <wp:posOffset>9997440</wp:posOffset>
          </wp:positionV>
          <wp:extent cx="2101215" cy="390525"/>
          <wp:effectExtent l="0" t="0" r="0" b="9525"/>
          <wp:wrapSquare wrapText="bothSides"/>
          <wp:docPr id="49" name="Obrázek 49" descr="logo_cz_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z_S_col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cs-CZ"/>
      </w:rPr>
      <w:tab/>
    </w:r>
    <w:proofErr w:type="gramStart"/>
    <w:r>
      <w:rPr>
        <w:lang w:val="cs-CZ"/>
      </w:rPr>
      <w:t xml:space="preserve">Stránka </w:t>
    </w:r>
    <w:proofErr w:type="gramEnd"/>
    <w:r w:rsidR="007149BE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7149BE">
      <w:rPr>
        <w:b/>
        <w:bCs/>
      </w:rPr>
      <w:fldChar w:fldCharType="separate"/>
    </w:r>
    <w:r w:rsidR="003A7873" w:rsidRPr="003A7873">
      <w:rPr>
        <w:b/>
        <w:bCs/>
        <w:noProof/>
        <w:lang w:val="cs-CZ"/>
      </w:rPr>
      <w:t>2</w:t>
    </w:r>
    <w:r w:rsidR="007149BE">
      <w:rPr>
        <w:b/>
        <w:bCs/>
      </w:rPr>
      <w:fldChar w:fldCharType="end"/>
    </w:r>
    <w:proofErr w:type="gramStart"/>
    <w:r>
      <w:rPr>
        <w:lang w:val="cs-CZ"/>
      </w:rPr>
      <w:t xml:space="preserve"> z </w:t>
    </w:r>
    <w:proofErr w:type="gramEnd"/>
    <w:r w:rsidR="003A7873">
      <w:fldChar w:fldCharType="begin"/>
    </w:r>
    <w:r w:rsidR="003A7873">
      <w:instrText>NUMPAGES  \* Arabic  \* MERGEFORMAT</w:instrText>
    </w:r>
    <w:r w:rsidR="003A7873">
      <w:fldChar w:fldCharType="separate"/>
    </w:r>
    <w:r w:rsidR="003A7873" w:rsidRPr="003A7873">
      <w:rPr>
        <w:b/>
        <w:bCs/>
        <w:noProof/>
        <w:lang w:val="cs-CZ"/>
      </w:rPr>
      <w:t>4</w:t>
    </w:r>
    <w:r w:rsidR="003A7873">
      <w:rPr>
        <w:b/>
        <w:bCs/>
        <w:noProof/>
        <w:lang w:val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46" w:rsidRDefault="00BC5A46">
    <w:pPr>
      <w:pStyle w:val="Zpat"/>
    </w:pPr>
    <w:r w:rsidRPr="00C21E67">
      <w:rPr>
        <w:noProof/>
        <w:lang w:val="cs-CZ" w:eastAsia="cs-CZ" w:bidi="ar-SA"/>
      </w:rPr>
      <w:drawing>
        <wp:anchor distT="0" distB="0" distL="114300" distR="114300" simplePos="0" relativeHeight="251668480" behindDoc="1" locked="0" layoutInCell="0" allowOverlap="1" wp14:anchorId="6AF6BFE4" wp14:editId="172C8F75">
          <wp:simplePos x="0" y="0"/>
          <wp:positionH relativeFrom="column">
            <wp:posOffset>765810</wp:posOffset>
          </wp:positionH>
          <wp:positionV relativeFrom="page">
            <wp:posOffset>10073640</wp:posOffset>
          </wp:positionV>
          <wp:extent cx="2101215" cy="390525"/>
          <wp:effectExtent l="0" t="0" r="0" b="9525"/>
          <wp:wrapTight wrapText="bothSides">
            <wp:wrapPolygon edited="0">
              <wp:start x="8421" y="0"/>
              <wp:lineTo x="0" y="0"/>
              <wp:lineTo x="0" y="21073"/>
              <wp:lineTo x="14883" y="21073"/>
              <wp:lineTo x="15862" y="21073"/>
              <wp:lineTo x="21345" y="21073"/>
              <wp:lineTo x="21345" y="0"/>
              <wp:lineTo x="11750" y="0"/>
              <wp:lineTo x="8421" y="0"/>
            </wp:wrapPolygon>
          </wp:wrapTight>
          <wp:docPr id="51" name="Obrázek 51" descr="logo_cz_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z_S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1E67">
      <w:rPr>
        <w:noProof/>
        <w:lang w:val="cs-CZ" w:eastAsia="cs-CZ" w:bidi="ar-SA"/>
      </w:rPr>
      <w:drawing>
        <wp:anchor distT="0" distB="0" distL="114300" distR="180340" simplePos="0" relativeHeight="251666432" behindDoc="0" locked="0" layoutInCell="1" allowOverlap="1" wp14:anchorId="23883846" wp14:editId="3BE394D2">
          <wp:simplePos x="0" y="0"/>
          <wp:positionH relativeFrom="column">
            <wp:posOffset>-15240</wp:posOffset>
          </wp:positionH>
          <wp:positionV relativeFrom="paragraph">
            <wp:posOffset>121920</wp:posOffset>
          </wp:positionV>
          <wp:extent cx="572770" cy="464820"/>
          <wp:effectExtent l="0" t="0" r="0" b="0"/>
          <wp:wrapSquare wrapText="bothSides"/>
          <wp:docPr id="52" name="obrázek 2" descr="S_MODR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_MODRY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proofErr w:type="gramStart"/>
    <w:r>
      <w:rPr>
        <w:lang w:val="cs-CZ"/>
      </w:rPr>
      <w:t xml:space="preserve">Stránka </w:t>
    </w:r>
    <w:proofErr w:type="gramEnd"/>
    <w:r w:rsidR="007149BE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7149BE">
      <w:rPr>
        <w:b/>
        <w:bCs/>
      </w:rPr>
      <w:fldChar w:fldCharType="separate"/>
    </w:r>
    <w:r w:rsidR="003A7873" w:rsidRPr="003A7873">
      <w:rPr>
        <w:b/>
        <w:bCs/>
        <w:noProof/>
        <w:lang w:val="cs-CZ"/>
      </w:rPr>
      <w:t>1</w:t>
    </w:r>
    <w:r w:rsidR="007149BE">
      <w:rPr>
        <w:b/>
        <w:bCs/>
      </w:rPr>
      <w:fldChar w:fldCharType="end"/>
    </w:r>
    <w:proofErr w:type="gramStart"/>
    <w:r>
      <w:rPr>
        <w:lang w:val="cs-CZ"/>
      </w:rPr>
      <w:t xml:space="preserve"> z </w:t>
    </w:r>
    <w:proofErr w:type="gramEnd"/>
    <w:fldSimple w:instr="NUMPAGES  \* Arabic  \* MERGEFORMAT">
      <w:r w:rsidR="003A7873" w:rsidRPr="003A7873">
        <w:rPr>
          <w:b/>
          <w:bCs/>
          <w:noProof/>
          <w:lang w:val="cs-CZ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FD4" w:rsidRDefault="00E12FD4" w:rsidP="009A1355">
      <w:pPr>
        <w:spacing w:before="0" w:after="0" w:line="240" w:lineRule="auto"/>
      </w:pPr>
      <w:r>
        <w:separator/>
      </w:r>
    </w:p>
  </w:footnote>
  <w:footnote w:type="continuationSeparator" w:id="0">
    <w:p w:rsidR="00E12FD4" w:rsidRDefault="00E12FD4" w:rsidP="009A135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46" w:rsidRPr="009A1355" w:rsidRDefault="00BC5A46" w:rsidP="009A1355">
    <w:pPr>
      <w:pStyle w:val="Zhlav"/>
    </w:pPr>
    <w:r>
      <w:rPr>
        <w:noProof/>
        <w:lang w:val="cs-CZ" w:eastAsia="cs-CZ" w:bidi="ar-SA"/>
      </w:rPr>
      <w:drawing>
        <wp:anchor distT="0" distB="0" distL="114300" distR="114300" simplePos="0" relativeHeight="251664384" behindDoc="1" locked="0" layoutInCell="1" allowOverlap="1" wp14:anchorId="71978C55" wp14:editId="5DEF8EBD">
          <wp:simplePos x="0" y="0"/>
          <wp:positionH relativeFrom="margin">
            <wp:align>center</wp:align>
          </wp:positionH>
          <wp:positionV relativeFrom="paragraph">
            <wp:posOffset>-708025</wp:posOffset>
          </wp:positionV>
          <wp:extent cx="7055937" cy="971550"/>
          <wp:effectExtent l="0" t="0" r="0" b="0"/>
          <wp:wrapNone/>
          <wp:docPr id="47" name="Obrázek 47" descr="pruh_Pag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_Page_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02" b="22930"/>
                  <a:stretch/>
                </pic:blipFill>
                <pic:spPr bwMode="auto">
                  <a:xfrm>
                    <a:off x="0" y="0"/>
                    <a:ext cx="7055937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46" w:rsidRDefault="00BC5A46">
    <w:pPr>
      <w:pStyle w:val="Zhlav"/>
    </w:pPr>
    <w:r>
      <w:rPr>
        <w:noProof/>
        <w:lang w:val="cs-CZ" w:eastAsia="cs-CZ" w:bidi="ar-SA"/>
      </w:rPr>
      <w:drawing>
        <wp:anchor distT="0" distB="0" distL="114300" distR="114300" simplePos="0" relativeHeight="251662336" behindDoc="1" locked="0" layoutInCell="1" allowOverlap="1" wp14:anchorId="295EDFBA" wp14:editId="37B9B8E3">
          <wp:simplePos x="0" y="0"/>
          <wp:positionH relativeFrom="column">
            <wp:posOffset>-529590</wp:posOffset>
          </wp:positionH>
          <wp:positionV relativeFrom="page">
            <wp:posOffset>28575</wp:posOffset>
          </wp:positionV>
          <wp:extent cx="7056000" cy="972000"/>
          <wp:effectExtent l="0" t="0" r="0" b="0"/>
          <wp:wrapNone/>
          <wp:docPr id="50" name="Obrázek 50" descr="pruh_Pag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_Page_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02" b="22930"/>
                  <a:stretch/>
                </pic:blipFill>
                <pic:spPr bwMode="auto">
                  <a:xfrm>
                    <a:off x="0" y="0"/>
                    <a:ext cx="70560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53B"/>
    <w:multiLevelType w:val="hybridMultilevel"/>
    <w:tmpl w:val="F15C1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2334"/>
    <w:multiLevelType w:val="hybridMultilevel"/>
    <w:tmpl w:val="246A4C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434AF810">
      <w:start w:val="27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66F7B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2C1265F0"/>
    <w:multiLevelType w:val="hybridMultilevel"/>
    <w:tmpl w:val="9322F086"/>
    <w:lvl w:ilvl="0" w:tplc="56EAC70C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0B0A35"/>
    <w:multiLevelType w:val="hybridMultilevel"/>
    <w:tmpl w:val="ABD0F2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7194F"/>
    <w:multiLevelType w:val="hybridMultilevel"/>
    <w:tmpl w:val="5C9AD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92B4D"/>
    <w:multiLevelType w:val="hybridMultilevel"/>
    <w:tmpl w:val="ABD0F2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7334C"/>
    <w:multiLevelType w:val="hybridMultilevel"/>
    <w:tmpl w:val="4E28C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55"/>
    <w:rsid w:val="000007F8"/>
    <w:rsid w:val="000210EF"/>
    <w:rsid w:val="00025EC1"/>
    <w:rsid w:val="00032542"/>
    <w:rsid w:val="000465E9"/>
    <w:rsid w:val="000547D6"/>
    <w:rsid w:val="00061FF3"/>
    <w:rsid w:val="00086AA1"/>
    <w:rsid w:val="00091ED2"/>
    <w:rsid w:val="00094C80"/>
    <w:rsid w:val="000B6A10"/>
    <w:rsid w:val="000C6717"/>
    <w:rsid w:val="000E11AA"/>
    <w:rsid w:val="000E6C74"/>
    <w:rsid w:val="0011099F"/>
    <w:rsid w:val="0011298D"/>
    <w:rsid w:val="001407FE"/>
    <w:rsid w:val="001509D5"/>
    <w:rsid w:val="001575A0"/>
    <w:rsid w:val="001808F6"/>
    <w:rsid w:val="001A18F0"/>
    <w:rsid w:val="001F348E"/>
    <w:rsid w:val="00201B7F"/>
    <w:rsid w:val="00204BD4"/>
    <w:rsid w:val="00234A7B"/>
    <w:rsid w:val="0024669F"/>
    <w:rsid w:val="00250EE3"/>
    <w:rsid w:val="002841D1"/>
    <w:rsid w:val="002949CD"/>
    <w:rsid w:val="002A7D8D"/>
    <w:rsid w:val="002D5129"/>
    <w:rsid w:val="003050AA"/>
    <w:rsid w:val="00323489"/>
    <w:rsid w:val="00340F73"/>
    <w:rsid w:val="00344E38"/>
    <w:rsid w:val="00352E02"/>
    <w:rsid w:val="0035561D"/>
    <w:rsid w:val="003657D1"/>
    <w:rsid w:val="003970D4"/>
    <w:rsid w:val="003A41CD"/>
    <w:rsid w:val="003A7873"/>
    <w:rsid w:val="003B7268"/>
    <w:rsid w:val="003D5544"/>
    <w:rsid w:val="003F346D"/>
    <w:rsid w:val="003F4BFD"/>
    <w:rsid w:val="00413D29"/>
    <w:rsid w:val="00414BC4"/>
    <w:rsid w:val="004176CE"/>
    <w:rsid w:val="004273FB"/>
    <w:rsid w:val="0043031A"/>
    <w:rsid w:val="00451470"/>
    <w:rsid w:val="004651FE"/>
    <w:rsid w:val="004740BA"/>
    <w:rsid w:val="00474DBA"/>
    <w:rsid w:val="00480257"/>
    <w:rsid w:val="00491333"/>
    <w:rsid w:val="004A0B9F"/>
    <w:rsid w:val="004A3DCA"/>
    <w:rsid w:val="004C5BAF"/>
    <w:rsid w:val="004D79C3"/>
    <w:rsid w:val="004E43EB"/>
    <w:rsid w:val="004F71D8"/>
    <w:rsid w:val="00534B9F"/>
    <w:rsid w:val="005442DF"/>
    <w:rsid w:val="00554003"/>
    <w:rsid w:val="00596E17"/>
    <w:rsid w:val="005B73D7"/>
    <w:rsid w:val="005C64F0"/>
    <w:rsid w:val="005E0A6B"/>
    <w:rsid w:val="00620FB4"/>
    <w:rsid w:val="00654067"/>
    <w:rsid w:val="00672E82"/>
    <w:rsid w:val="00676ED0"/>
    <w:rsid w:val="006776D1"/>
    <w:rsid w:val="006856E9"/>
    <w:rsid w:val="006A06CA"/>
    <w:rsid w:val="006C50F6"/>
    <w:rsid w:val="006F5E84"/>
    <w:rsid w:val="00706D30"/>
    <w:rsid w:val="007149BE"/>
    <w:rsid w:val="00717759"/>
    <w:rsid w:val="00722795"/>
    <w:rsid w:val="00762735"/>
    <w:rsid w:val="00770022"/>
    <w:rsid w:val="00770623"/>
    <w:rsid w:val="00775E59"/>
    <w:rsid w:val="00791986"/>
    <w:rsid w:val="007D6259"/>
    <w:rsid w:val="007E52A8"/>
    <w:rsid w:val="007F2FA8"/>
    <w:rsid w:val="007F4548"/>
    <w:rsid w:val="008005B3"/>
    <w:rsid w:val="00816D5A"/>
    <w:rsid w:val="008502A0"/>
    <w:rsid w:val="00850B0F"/>
    <w:rsid w:val="0085219B"/>
    <w:rsid w:val="008569EC"/>
    <w:rsid w:val="00881331"/>
    <w:rsid w:val="008A399A"/>
    <w:rsid w:val="008C3C0C"/>
    <w:rsid w:val="008D1A5F"/>
    <w:rsid w:val="008D1F3C"/>
    <w:rsid w:val="008E1DC0"/>
    <w:rsid w:val="008E4F79"/>
    <w:rsid w:val="008F6111"/>
    <w:rsid w:val="00900174"/>
    <w:rsid w:val="009221DD"/>
    <w:rsid w:val="009343AE"/>
    <w:rsid w:val="009346CB"/>
    <w:rsid w:val="00937C23"/>
    <w:rsid w:val="009613EF"/>
    <w:rsid w:val="00964C0B"/>
    <w:rsid w:val="009A1355"/>
    <w:rsid w:val="009D7136"/>
    <w:rsid w:val="00A01324"/>
    <w:rsid w:val="00A064A2"/>
    <w:rsid w:val="00A26E7F"/>
    <w:rsid w:val="00A4397D"/>
    <w:rsid w:val="00A61614"/>
    <w:rsid w:val="00A61DFB"/>
    <w:rsid w:val="00A849AB"/>
    <w:rsid w:val="00A86648"/>
    <w:rsid w:val="00AA0BD3"/>
    <w:rsid w:val="00AC064C"/>
    <w:rsid w:val="00AD4A5A"/>
    <w:rsid w:val="00AF3236"/>
    <w:rsid w:val="00AF7A2F"/>
    <w:rsid w:val="00B17B6B"/>
    <w:rsid w:val="00B6126A"/>
    <w:rsid w:val="00B65AF0"/>
    <w:rsid w:val="00BC5A46"/>
    <w:rsid w:val="00BE5C0E"/>
    <w:rsid w:val="00BF7B3A"/>
    <w:rsid w:val="00C17CC7"/>
    <w:rsid w:val="00C23642"/>
    <w:rsid w:val="00C44655"/>
    <w:rsid w:val="00C5086E"/>
    <w:rsid w:val="00C5183F"/>
    <w:rsid w:val="00CA61AD"/>
    <w:rsid w:val="00CA6D03"/>
    <w:rsid w:val="00CB641B"/>
    <w:rsid w:val="00CC02F9"/>
    <w:rsid w:val="00CC3419"/>
    <w:rsid w:val="00CF6389"/>
    <w:rsid w:val="00D029F5"/>
    <w:rsid w:val="00D06C36"/>
    <w:rsid w:val="00D07E20"/>
    <w:rsid w:val="00D10DF1"/>
    <w:rsid w:val="00D253B4"/>
    <w:rsid w:val="00D47C69"/>
    <w:rsid w:val="00D51F39"/>
    <w:rsid w:val="00D55506"/>
    <w:rsid w:val="00D5737B"/>
    <w:rsid w:val="00D6237E"/>
    <w:rsid w:val="00D6275E"/>
    <w:rsid w:val="00D70799"/>
    <w:rsid w:val="00D73B5A"/>
    <w:rsid w:val="00DA54FA"/>
    <w:rsid w:val="00DB3669"/>
    <w:rsid w:val="00DC71FF"/>
    <w:rsid w:val="00DF0612"/>
    <w:rsid w:val="00DF7B5D"/>
    <w:rsid w:val="00E0358D"/>
    <w:rsid w:val="00E12FD4"/>
    <w:rsid w:val="00E15711"/>
    <w:rsid w:val="00E31F0E"/>
    <w:rsid w:val="00E42913"/>
    <w:rsid w:val="00E434D6"/>
    <w:rsid w:val="00E464D6"/>
    <w:rsid w:val="00E47EAA"/>
    <w:rsid w:val="00E66B80"/>
    <w:rsid w:val="00E85AD4"/>
    <w:rsid w:val="00E86434"/>
    <w:rsid w:val="00EA3C61"/>
    <w:rsid w:val="00EB6E84"/>
    <w:rsid w:val="00EC64AF"/>
    <w:rsid w:val="00ED0CB8"/>
    <w:rsid w:val="00ED509B"/>
    <w:rsid w:val="00EF3888"/>
    <w:rsid w:val="00EF5E7C"/>
    <w:rsid w:val="00F22723"/>
    <w:rsid w:val="00F478AA"/>
    <w:rsid w:val="00F51273"/>
    <w:rsid w:val="00F5318E"/>
    <w:rsid w:val="00F62DE4"/>
    <w:rsid w:val="00F73736"/>
    <w:rsid w:val="00F94041"/>
    <w:rsid w:val="00F96129"/>
    <w:rsid w:val="00F96C55"/>
    <w:rsid w:val="00FB6C73"/>
    <w:rsid w:val="00FC29B0"/>
    <w:rsid w:val="00FD140A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E9EDE-5124-454A-B910-86C42441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355"/>
    <w:pPr>
      <w:spacing w:before="200" w:after="200" w:line="276" w:lineRule="auto"/>
      <w:jc w:val="both"/>
    </w:pPr>
    <w:rPr>
      <w:rFonts w:eastAsiaTheme="minorEastAsia"/>
      <w:szCs w:val="20"/>
      <w:lang w:val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A1355"/>
    <w:pPr>
      <w:spacing w:after="0"/>
      <w:jc w:val="left"/>
      <w:outlineLvl w:val="0"/>
    </w:pPr>
    <w:rPr>
      <w:b/>
      <w:bCs/>
      <w:caps/>
      <w:color w:val="005293"/>
      <w:spacing w:val="15"/>
      <w:sz w:val="4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1355"/>
    <w:rPr>
      <w:rFonts w:eastAsiaTheme="minorEastAsia"/>
      <w:b/>
      <w:bCs/>
      <w:caps/>
      <w:color w:val="005293"/>
      <w:spacing w:val="15"/>
      <w:sz w:val="40"/>
      <w:lang w:val="en-US" w:bidi="en-US"/>
    </w:rPr>
  </w:style>
  <w:style w:type="paragraph" w:styleId="Zhlav">
    <w:name w:val="header"/>
    <w:basedOn w:val="Normln"/>
    <w:link w:val="ZhlavChar"/>
    <w:uiPriority w:val="99"/>
    <w:rsid w:val="009A13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1355"/>
    <w:rPr>
      <w:rFonts w:eastAsiaTheme="minorEastAsia"/>
      <w:szCs w:val="20"/>
      <w:lang w:val="en-US" w:bidi="en-US"/>
    </w:rPr>
  </w:style>
  <w:style w:type="paragraph" w:styleId="Zpat">
    <w:name w:val="footer"/>
    <w:basedOn w:val="Normln"/>
    <w:link w:val="ZpatChar"/>
    <w:rsid w:val="009A13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1355"/>
    <w:rPr>
      <w:rFonts w:eastAsiaTheme="minorEastAsia"/>
      <w:szCs w:val="20"/>
      <w:lang w:val="en-US" w:bidi="en-US"/>
    </w:rPr>
  </w:style>
  <w:style w:type="paragraph" w:customStyle="1" w:styleId="Smlouva">
    <w:name w:val="Smlouva"/>
    <w:basedOn w:val="Normln"/>
    <w:rsid w:val="009A1355"/>
    <w:pPr>
      <w:tabs>
        <w:tab w:val="num" w:pos="144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lang w:val="cs-CZ" w:eastAsia="cs-CZ" w:bidi="ar-SA"/>
    </w:rPr>
  </w:style>
  <w:style w:type="paragraph" w:styleId="Zkladntext">
    <w:name w:val="Body Text"/>
    <w:basedOn w:val="Normln"/>
    <w:link w:val="ZkladntextChar"/>
    <w:unhideWhenUsed/>
    <w:rsid w:val="009A13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A1355"/>
    <w:rPr>
      <w:rFonts w:eastAsiaTheme="minorEastAsia"/>
      <w:szCs w:val="20"/>
      <w:lang w:val="en-US" w:bidi="en-US"/>
    </w:rPr>
  </w:style>
  <w:style w:type="character" w:styleId="slostrnky">
    <w:name w:val="page number"/>
    <w:basedOn w:val="Standardnpsmoodstavce"/>
    <w:semiHidden/>
    <w:rsid w:val="009A1355"/>
  </w:style>
  <w:style w:type="paragraph" w:styleId="Prosttext">
    <w:name w:val="Plain Text"/>
    <w:basedOn w:val="Normln"/>
    <w:link w:val="ProsttextChar"/>
    <w:rsid w:val="009A1355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lang w:val="fr-FR" w:eastAsia="cs-CZ" w:bidi="ar-SA"/>
    </w:rPr>
  </w:style>
  <w:style w:type="character" w:customStyle="1" w:styleId="ProsttextChar">
    <w:name w:val="Prostý text Char"/>
    <w:basedOn w:val="Standardnpsmoodstavce"/>
    <w:link w:val="Prosttext"/>
    <w:rsid w:val="009A1355"/>
    <w:rPr>
      <w:rFonts w:ascii="Courier New" w:eastAsia="Times New Roman" w:hAnsi="Courier New" w:cs="Times New Roman"/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B0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B0F"/>
    <w:rPr>
      <w:rFonts w:ascii="Tahoma" w:eastAsiaTheme="minorEastAsia" w:hAnsi="Tahoma" w:cs="Tahom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881331"/>
    <w:pPr>
      <w:spacing w:before="0"/>
      <w:ind w:left="720"/>
      <w:contextualSpacing/>
      <w:jc w:val="left"/>
    </w:pPr>
    <w:rPr>
      <w:rFonts w:eastAsiaTheme="minorHAnsi"/>
      <w:szCs w:val="22"/>
      <w:lang w:val="en-GB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F7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B3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B3A"/>
    <w:rPr>
      <w:rFonts w:eastAsiaTheme="minorEastAsia"/>
      <w:sz w:val="20"/>
      <w:szCs w:val="20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B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B3A"/>
    <w:rPr>
      <w:rFonts w:eastAsiaTheme="minorEastAsia"/>
      <w:b/>
      <w:bCs/>
      <w:sz w:val="20"/>
      <w:szCs w:val="20"/>
      <w:lang w:val="en-US" w:bidi="en-US"/>
    </w:rPr>
  </w:style>
  <w:style w:type="character" w:customStyle="1" w:styleId="lrzxr">
    <w:name w:val="lrzxr"/>
    <w:basedOn w:val="Standardnpsmoodstavce"/>
    <w:rsid w:val="00427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Lucie Hrubá</cp:lastModifiedBy>
  <cp:revision>2</cp:revision>
  <cp:lastPrinted>2017-08-10T12:23:00Z</cp:lastPrinted>
  <dcterms:created xsi:type="dcterms:W3CDTF">2018-06-13T09:37:00Z</dcterms:created>
  <dcterms:modified xsi:type="dcterms:W3CDTF">2018-06-13T09:37:00Z</dcterms:modified>
</cp:coreProperties>
</file>