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4C05" w:rsidRDefault="002675EA">
      <w:pPr>
        <w:pStyle w:val="Nadpis2"/>
        <w:numPr>
          <w:ilvl w:val="0"/>
          <w:numId w:val="0"/>
        </w:numPr>
        <w:ind w:left="576" w:hanging="576"/>
        <w:jc w:val="center"/>
        <w:rPr>
          <w:rFonts w:ascii="Tahoma" w:hAnsi="Tahoma" w:cs="Tahoma"/>
          <w:sz w:val="24"/>
          <w:szCs w:val="20"/>
        </w:rPr>
      </w:pPr>
      <w:r>
        <w:rPr>
          <w:rFonts w:ascii="Tahoma" w:hAnsi="Tahoma" w:cs="Tahoma"/>
          <w:i w:val="0"/>
          <w:sz w:val="24"/>
          <w:szCs w:val="20"/>
        </w:rPr>
        <w:t>Technické parametry a jejich bodové ohodnocení</w:t>
      </w:r>
    </w:p>
    <w:p w:rsidR="00C14C05" w:rsidRDefault="00C14C05">
      <w:pPr>
        <w:pStyle w:val="TextBody"/>
        <w:jc w:val="both"/>
        <w:rPr>
          <w:rFonts w:ascii="Tahoma" w:hAnsi="Tahoma" w:cs="Tahoma"/>
          <w:sz w:val="20"/>
          <w:szCs w:val="20"/>
        </w:rPr>
      </w:pPr>
    </w:p>
    <w:tbl>
      <w:tblPr>
        <w:tblW w:w="15149" w:type="dxa"/>
        <w:tblInd w:w="9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3" w:type="dxa"/>
        </w:tblCellMar>
        <w:tblLook w:val="04A0" w:firstRow="1" w:lastRow="0" w:firstColumn="1" w:lastColumn="0" w:noHBand="0" w:noVBand="1"/>
      </w:tblPr>
      <w:tblGrid>
        <w:gridCol w:w="5133"/>
        <w:gridCol w:w="4395"/>
        <w:gridCol w:w="2569"/>
        <w:gridCol w:w="3052"/>
      </w:tblGrid>
      <w:tr w:rsidR="00C14C05">
        <w:tc>
          <w:tcPr>
            <w:tcW w:w="5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C14C05" w:rsidRDefault="002675EA">
            <w:pPr>
              <w:spacing w:before="144"/>
              <w:ind w:left="720" w:hanging="515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Specifikace dílčího hodnotícího kritéria</w:t>
            </w:r>
          </w:p>
        </w:tc>
        <w:tc>
          <w:tcPr>
            <w:tcW w:w="4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2EFD9" w:themeFill="accent6" w:themeFillTint="33"/>
            <w:tcMar>
              <w:left w:w="93" w:type="dxa"/>
            </w:tcMar>
          </w:tcPr>
          <w:p w:rsidR="00C14C05" w:rsidRDefault="002675EA">
            <w:pPr>
              <w:spacing w:before="144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Dodavatelem nabízené parametry*</w:t>
            </w:r>
          </w:p>
        </w:tc>
        <w:tc>
          <w:tcPr>
            <w:tcW w:w="2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C14C05" w:rsidRDefault="002675EA">
            <w:pPr>
              <w:spacing w:before="144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Bodové ohodnocení</w:t>
            </w:r>
          </w:p>
        </w:tc>
        <w:tc>
          <w:tcPr>
            <w:tcW w:w="3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C14C05" w:rsidRDefault="002675EA">
            <w:pPr>
              <w:spacing w:before="144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Počet bodů udělených hodnotící komisí</w:t>
            </w:r>
          </w:p>
        </w:tc>
      </w:tr>
      <w:tr w:rsidR="00C14C05">
        <w:tc>
          <w:tcPr>
            <w:tcW w:w="5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C14C05" w:rsidRDefault="002675EA">
            <w:pPr>
              <w:numPr>
                <w:ilvl w:val="0"/>
                <w:numId w:val="2"/>
              </w:numPr>
              <w:spacing w:before="144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Maximální přípustný vstupní zkušební tlak</w:t>
            </w:r>
          </w:p>
        </w:tc>
        <w:tc>
          <w:tcPr>
            <w:tcW w:w="4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2EFD9" w:themeFill="accent6" w:themeFillTint="33"/>
            <w:tcMar>
              <w:left w:w="93" w:type="dxa"/>
            </w:tcMar>
          </w:tcPr>
          <w:p w:rsidR="00C14C05" w:rsidRDefault="00377D1A" w:rsidP="00377D1A">
            <w:pPr>
              <w:spacing w:before="144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1 bar</w:t>
            </w:r>
            <w:r w:rsidR="0019260F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(atmosférický)</w:t>
            </w:r>
          </w:p>
        </w:tc>
        <w:tc>
          <w:tcPr>
            <w:tcW w:w="2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C14C05" w:rsidRDefault="002675EA">
            <w:pPr>
              <w:spacing w:before="144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Nabídnuté hodnoty budou seřazeny sestupně a body budou hodnoceny prvních 5 nejlepších nabídek sestupně od 5 do 1 bodu; zbylí dostanou 0 bodů</w:t>
            </w:r>
          </w:p>
        </w:tc>
        <w:tc>
          <w:tcPr>
            <w:tcW w:w="3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C14C05" w:rsidRDefault="00C14C05">
            <w:pPr>
              <w:spacing w:before="144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C14C05">
        <w:trPr>
          <w:trHeight w:val="1045"/>
        </w:trPr>
        <w:tc>
          <w:tcPr>
            <w:tcW w:w="5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C14C05" w:rsidRDefault="002675EA">
            <w:pPr>
              <w:numPr>
                <w:ilvl w:val="0"/>
                <w:numId w:val="2"/>
              </w:numPr>
              <w:spacing w:before="144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Nejnižší detekovatelná míra úniku hélia</w:t>
            </w:r>
          </w:p>
        </w:tc>
        <w:tc>
          <w:tcPr>
            <w:tcW w:w="4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2EFD9" w:themeFill="accent6" w:themeFillTint="33"/>
            <w:tcMar>
              <w:left w:w="93" w:type="dxa"/>
            </w:tcMar>
          </w:tcPr>
          <w:p w:rsidR="00C14C05" w:rsidRPr="00377D1A" w:rsidRDefault="00377D1A" w:rsidP="00377D1A">
            <w:pPr>
              <w:spacing w:before="144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5x10</w:t>
            </w:r>
            <w:r w:rsidRPr="00377D1A">
              <w:rPr>
                <w:rFonts w:ascii="Tahoma" w:hAnsi="Tahoma" w:cs="Tahoma"/>
                <w:b/>
                <w:bCs/>
                <w:sz w:val="20"/>
                <w:szCs w:val="20"/>
                <w:vertAlign w:val="superscript"/>
              </w:rPr>
              <w:t>-12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mbar</w:t>
            </w:r>
            <w:r w:rsidR="00AF2488">
              <w:rPr>
                <w:rFonts w:ascii="Tahoma" w:hAnsi="Tahoma" w:cs="Tahoma"/>
                <w:b/>
                <w:bCs/>
                <w:sz w:val="20"/>
                <w:szCs w:val="20"/>
              </w:rPr>
              <w:t>*l/s</w:t>
            </w:r>
          </w:p>
        </w:tc>
        <w:tc>
          <w:tcPr>
            <w:tcW w:w="2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C14C05" w:rsidRDefault="002675EA">
            <w:pPr>
              <w:spacing w:before="144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Nabídnuté hodnoty budou seřazeny sestupně a body budou hodnoceny prvních 5 nejlepších nabídek sestupně od 5 do 1 bodu; zbylí dostanou 0 bodů</w:t>
            </w:r>
          </w:p>
        </w:tc>
        <w:tc>
          <w:tcPr>
            <w:tcW w:w="3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C14C05" w:rsidRDefault="00C14C05">
            <w:pPr>
              <w:spacing w:before="144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C14C05">
        <w:trPr>
          <w:trHeight w:val="989"/>
        </w:trPr>
        <w:tc>
          <w:tcPr>
            <w:tcW w:w="5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C14C05" w:rsidRDefault="002675EA">
            <w:pPr>
              <w:numPr>
                <w:ilvl w:val="0"/>
                <w:numId w:val="2"/>
              </w:numPr>
              <w:spacing w:before="144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Konektivita, ovládání systému</w:t>
            </w:r>
          </w:p>
        </w:tc>
        <w:tc>
          <w:tcPr>
            <w:tcW w:w="4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2EFD9" w:themeFill="accent6" w:themeFillTint="33"/>
            <w:tcMar>
              <w:left w:w="93" w:type="dxa"/>
            </w:tcMar>
          </w:tcPr>
          <w:p w:rsidR="00C14C05" w:rsidRDefault="00377D1A" w:rsidP="00377D1A">
            <w:pPr>
              <w:spacing w:before="144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ETH – Ano</w:t>
            </w:r>
          </w:p>
          <w:p w:rsidR="00377D1A" w:rsidRDefault="00377D1A" w:rsidP="00377D1A">
            <w:pPr>
              <w:spacing w:before="144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Wireless</w:t>
            </w:r>
            <w:proofErr w:type="spellEnd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– Ano</w:t>
            </w:r>
            <w:r w:rsidR="000872F8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C14C05" w:rsidRDefault="002675EA">
            <w:pPr>
              <w:spacing w:before="144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ETH konektivita:</w:t>
            </w:r>
          </w:p>
          <w:p w:rsidR="00C14C05" w:rsidRDefault="002675EA">
            <w:pPr>
              <w:spacing w:before="144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ANO </w:t>
            </w:r>
            <w:r w:rsidR="00377D1A">
              <w:rPr>
                <w:rFonts w:ascii="Tahoma" w:hAnsi="Tahoma" w:cs="Tahoma"/>
                <w:b/>
                <w:bCs/>
                <w:sz w:val="20"/>
                <w:szCs w:val="20"/>
              </w:rPr>
              <w:t>–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5 bodů</w:t>
            </w:r>
          </w:p>
          <w:p w:rsidR="00C14C05" w:rsidRDefault="002675EA">
            <w:pPr>
              <w:spacing w:before="144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NE – 0 bodů</w:t>
            </w:r>
          </w:p>
          <w:p w:rsidR="00C14C05" w:rsidRDefault="002675EA">
            <w:pPr>
              <w:spacing w:before="144"/>
              <w:jc w:val="both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wireless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ovládání přístroje:</w:t>
            </w:r>
          </w:p>
          <w:p w:rsidR="00C14C05" w:rsidRDefault="002675EA">
            <w:pPr>
              <w:spacing w:before="144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ANO </w:t>
            </w:r>
            <w:r w:rsidR="00377D1A">
              <w:rPr>
                <w:rFonts w:ascii="Tahoma" w:hAnsi="Tahoma" w:cs="Tahoma"/>
                <w:b/>
                <w:bCs/>
                <w:sz w:val="20"/>
                <w:szCs w:val="20"/>
              </w:rPr>
              <w:t>–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3 body</w:t>
            </w:r>
          </w:p>
          <w:p w:rsidR="00C14C05" w:rsidRDefault="002675EA">
            <w:pPr>
              <w:spacing w:before="144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NE – 0 bodů</w:t>
            </w:r>
          </w:p>
        </w:tc>
        <w:tc>
          <w:tcPr>
            <w:tcW w:w="3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C14C05" w:rsidRDefault="00C14C05">
            <w:pPr>
              <w:spacing w:before="144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C14C05">
        <w:trPr>
          <w:trHeight w:val="1275"/>
        </w:trPr>
        <w:tc>
          <w:tcPr>
            <w:tcW w:w="5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C14C05" w:rsidRDefault="002675EA">
            <w:pPr>
              <w:numPr>
                <w:ilvl w:val="0"/>
                <w:numId w:val="2"/>
              </w:numPr>
              <w:spacing w:before="144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Stanice He zásobníku se sprejovou pistolí s</w:t>
            </w:r>
            <w:r w:rsidR="00242566">
              <w:rPr>
                <w:rFonts w:ascii="Tahoma" w:hAnsi="Tahoma" w:cs="Tahoma"/>
                <w:sz w:val="20"/>
                <w:szCs w:val="20"/>
              </w:rPr>
              <w:t> </w:t>
            </w:r>
            <w:r>
              <w:rPr>
                <w:rFonts w:ascii="Tahoma" w:hAnsi="Tahoma" w:cs="Tahoma"/>
                <w:sz w:val="20"/>
                <w:szCs w:val="20"/>
              </w:rPr>
              <w:t>příslušenstvím</w:t>
            </w:r>
          </w:p>
        </w:tc>
        <w:tc>
          <w:tcPr>
            <w:tcW w:w="4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2EFD9" w:themeFill="accent6" w:themeFillTint="33"/>
            <w:tcMar>
              <w:left w:w="93" w:type="dxa"/>
            </w:tcMar>
          </w:tcPr>
          <w:p w:rsidR="00C14C05" w:rsidRDefault="00377D1A" w:rsidP="00377D1A">
            <w:pPr>
              <w:spacing w:before="144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Ano</w:t>
            </w:r>
          </w:p>
        </w:tc>
        <w:tc>
          <w:tcPr>
            <w:tcW w:w="2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C14C05" w:rsidRDefault="002675EA">
            <w:pPr>
              <w:spacing w:before="144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ANO </w:t>
            </w:r>
            <w:r w:rsidR="00377D1A">
              <w:rPr>
                <w:rFonts w:ascii="Tahoma" w:hAnsi="Tahoma" w:cs="Tahoma"/>
                <w:b/>
                <w:bCs/>
                <w:sz w:val="20"/>
                <w:szCs w:val="20"/>
              </w:rPr>
              <w:t>–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5 bodů</w:t>
            </w:r>
          </w:p>
          <w:p w:rsidR="00C14C05" w:rsidRDefault="002675EA">
            <w:pPr>
              <w:spacing w:before="144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NE – 0 bodů</w:t>
            </w:r>
          </w:p>
        </w:tc>
        <w:tc>
          <w:tcPr>
            <w:tcW w:w="3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C14C05" w:rsidRDefault="00C14C05">
            <w:pPr>
              <w:spacing w:before="144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C14C05">
        <w:trPr>
          <w:trHeight w:val="905"/>
        </w:trPr>
        <w:tc>
          <w:tcPr>
            <w:tcW w:w="5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C14C05" w:rsidRDefault="002675EA">
            <w:pPr>
              <w:numPr>
                <w:ilvl w:val="0"/>
                <w:numId w:val="2"/>
              </w:numPr>
              <w:spacing w:before="144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>He zásobník</w:t>
            </w:r>
          </w:p>
        </w:tc>
        <w:tc>
          <w:tcPr>
            <w:tcW w:w="4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2EFD9" w:themeFill="accent6" w:themeFillTint="33"/>
            <w:tcMar>
              <w:left w:w="93" w:type="dxa"/>
            </w:tcMar>
          </w:tcPr>
          <w:p w:rsidR="00C14C05" w:rsidRDefault="00377D1A" w:rsidP="00377D1A">
            <w:pPr>
              <w:spacing w:before="144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5 litrů, 200 bar</w:t>
            </w:r>
          </w:p>
        </w:tc>
        <w:tc>
          <w:tcPr>
            <w:tcW w:w="2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C14C05" w:rsidRDefault="002675EA">
            <w:pPr>
              <w:spacing w:before="144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ANO </w:t>
            </w:r>
            <w:r w:rsidR="00242566">
              <w:rPr>
                <w:rFonts w:ascii="Tahoma" w:hAnsi="Tahoma" w:cs="Tahoma"/>
                <w:b/>
                <w:bCs/>
                <w:sz w:val="20"/>
                <w:szCs w:val="20"/>
              </w:rPr>
              <w:t>–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5 bodů</w:t>
            </w:r>
          </w:p>
          <w:p w:rsidR="00C14C05" w:rsidRDefault="002675EA">
            <w:pPr>
              <w:spacing w:before="144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NE – 0 bodů</w:t>
            </w:r>
          </w:p>
        </w:tc>
        <w:tc>
          <w:tcPr>
            <w:tcW w:w="3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C14C05" w:rsidRDefault="00C14C05">
            <w:pPr>
              <w:spacing w:before="144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C14C05">
        <w:tc>
          <w:tcPr>
            <w:tcW w:w="5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C14C05" w:rsidRDefault="002675EA">
            <w:pPr>
              <w:numPr>
                <w:ilvl w:val="0"/>
                <w:numId w:val="2"/>
              </w:numPr>
              <w:spacing w:before="144"/>
              <w:jc w:val="both"/>
            </w:pPr>
            <w:r>
              <w:rPr>
                <w:rFonts w:ascii="Tahoma" w:hAnsi="Tahoma" w:cs="Tahoma"/>
                <w:sz w:val="20"/>
                <w:szCs w:val="20"/>
              </w:rPr>
              <w:t>Bohatost příslušenství</w:t>
            </w:r>
          </w:p>
        </w:tc>
        <w:tc>
          <w:tcPr>
            <w:tcW w:w="4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2EFD9" w:themeFill="accent6" w:themeFillTint="33"/>
            <w:tcMar>
              <w:left w:w="93" w:type="dxa"/>
            </w:tcMar>
          </w:tcPr>
          <w:p w:rsidR="00C14C05" w:rsidRDefault="000E6D37" w:rsidP="00377D1A">
            <w:pPr>
              <w:spacing w:before="144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Transportní vozík – Ano</w:t>
            </w:r>
          </w:p>
          <w:p w:rsidR="000E6D37" w:rsidRDefault="000E6D37" w:rsidP="00377D1A">
            <w:pPr>
              <w:spacing w:before="144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Soupravy – Ano</w:t>
            </w:r>
          </w:p>
          <w:p w:rsidR="000E6D37" w:rsidRDefault="000E6D37" w:rsidP="00377D1A">
            <w:pPr>
              <w:spacing w:before="144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Sada vlnovců, redukcí, ventilů, těsnění </w:t>
            </w:r>
            <w:r w:rsidR="00242566">
              <w:rPr>
                <w:rFonts w:ascii="Tahoma" w:hAnsi="Tahoma" w:cs="Tahoma"/>
                <w:b/>
                <w:bCs/>
                <w:sz w:val="20"/>
                <w:szCs w:val="20"/>
              </w:rPr>
              <w:t>–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Ano</w:t>
            </w:r>
          </w:p>
        </w:tc>
        <w:tc>
          <w:tcPr>
            <w:tcW w:w="2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C14C05" w:rsidRDefault="002675EA">
            <w:pPr>
              <w:spacing w:before="144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transportní vozík:</w:t>
            </w:r>
          </w:p>
          <w:p w:rsidR="00C14C05" w:rsidRDefault="002675EA">
            <w:pPr>
              <w:spacing w:before="144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ANO </w:t>
            </w:r>
            <w:r w:rsidR="00242566">
              <w:rPr>
                <w:rFonts w:ascii="Tahoma" w:hAnsi="Tahoma" w:cs="Tahoma"/>
                <w:b/>
                <w:bCs/>
                <w:sz w:val="20"/>
                <w:szCs w:val="20"/>
              </w:rPr>
              <w:t>–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3 body</w:t>
            </w:r>
          </w:p>
          <w:p w:rsidR="00C14C05" w:rsidRDefault="002675EA">
            <w:pPr>
              <w:spacing w:before="144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NE – 0 bodů</w:t>
            </w:r>
          </w:p>
          <w:p w:rsidR="00C14C05" w:rsidRDefault="002675EA">
            <w:pPr>
              <w:spacing w:before="144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soupravy na profesionální zacelováni netěsností:</w:t>
            </w:r>
          </w:p>
          <w:p w:rsidR="00C14C05" w:rsidRDefault="002675EA">
            <w:pPr>
              <w:spacing w:before="144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ANO </w:t>
            </w:r>
            <w:r w:rsidR="00242566">
              <w:rPr>
                <w:rFonts w:ascii="Tahoma" w:hAnsi="Tahoma" w:cs="Tahoma"/>
                <w:b/>
                <w:bCs/>
                <w:sz w:val="20"/>
                <w:szCs w:val="20"/>
              </w:rPr>
              <w:t>–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6 bodů</w:t>
            </w:r>
          </w:p>
          <w:p w:rsidR="00C14C05" w:rsidRDefault="002675EA">
            <w:pPr>
              <w:spacing w:before="144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NE – 0 bodů</w:t>
            </w:r>
          </w:p>
          <w:p w:rsidR="00C14C05" w:rsidRDefault="002675EA">
            <w:pPr>
              <w:spacing w:before="144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sada připojovacích vlnovců, redukcí, ventilů, těsnění:</w:t>
            </w:r>
          </w:p>
          <w:p w:rsidR="00C14C05" w:rsidRDefault="002675EA">
            <w:pPr>
              <w:spacing w:before="144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ANO </w:t>
            </w:r>
            <w:r w:rsidR="00242566">
              <w:rPr>
                <w:rFonts w:ascii="Tahoma" w:hAnsi="Tahoma" w:cs="Tahoma"/>
                <w:b/>
                <w:bCs/>
                <w:sz w:val="20"/>
                <w:szCs w:val="20"/>
              </w:rPr>
              <w:t>–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5 bodů</w:t>
            </w:r>
          </w:p>
          <w:p w:rsidR="00C14C05" w:rsidRDefault="002675EA">
            <w:pPr>
              <w:spacing w:before="144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NE – 0 bodů</w:t>
            </w:r>
          </w:p>
        </w:tc>
        <w:tc>
          <w:tcPr>
            <w:tcW w:w="3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C14C05" w:rsidRDefault="00C14C05">
            <w:pPr>
              <w:spacing w:before="144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C14C05">
        <w:trPr>
          <w:trHeight w:val="1289"/>
        </w:trPr>
        <w:tc>
          <w:tcPr>
            <w:tcW w:w="5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C14C05" w:rsidRDefault="002675EA">
            <w:pPr>
              <w:numPr>
                <w:ilvl w:val="0"/>
                <w:numId w:val="2"/>
              </w:numPr>
              <w:spacing w:before="144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Čerpací rychlost systému</w:t>
            </w:r>
          </w:p>
        </w:tc>
        <w:tc>
          <w:tcPr>
            <w:tcW w:w="4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2EFD9" w:themeFill="accent6" w:themeFillTint="33"/>
            <w:tcMar>
              <w:left w:w="93" w:type="dxa"/>
            </w:tcMar>
          </w:tcPr>
          <w:p w:rsidR="00783E39" w:rsidRPr="000872F8" w:rsidRDefault="00E739F0" w:rsidP="00E739F0">
            <w:pPr>
              <w:spacing w:before="144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&gt; 1</w:t>
            </w:r>
            <w:r w:rsidR="00811BF0">
              <w:rPr>
                <w:rFonts w:ascii="Tahoma" w:hAnsi="Tahoma" w:cs="Tahoma"/>
                <w:b/>
                <w:bCs/>
                <w:sz w:val="20"/>
                <w:szCs w:val="20"/>
              </w:rPr>
              <w:t>2</w:t>
            </w:r>
            <w:r w:rsidR="00DE6BE5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l/s</w:t>
            </w:r>
            <w:r w:rsidR="00D21D38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pro He</w:t>
            </w:r>
          </w:p>
        </w:tc>
        <w:tc>
          <w:tcPr>
            <w:tcW w:w="2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C14C05" w:rsidRDefault="002675EA">
            <w:pPr>
              <w:spacing w:before="144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Nabídnuté hodnoty budou seřazeny sestupně a body budou hodnoceny prvních 5 nejlepších nabídek sestupně od 5 do 1 bodu; zbylí dostanou 0 bodů</w:t>
            </w:r>
          </w:p>
        </w:tc>
        <w:tc>
          <w:tcPr>
            <w:tcW w:w="3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C14C05" w:rsidRDefault="00C14C05">
            <w:pPr>
              <w:spacing w:before="144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C14C05">
        <w:trPr>
          <w:trHeight w:val="1289"/>
        </w:trPr>
        <w:tc>
          <w:tcPr>
            <w:tcW w:w="5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C14C05" w:rsidRDefault="002675EA">
            <w:pPr>
              <w:numPr>
                <w:ilvl w:val="0"/>
                <w:numId w:val="2"/>
              </w:numPr>
              <w:spacing w:before="144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Dry verze</w:t>
            </w:r>
          </w:p>
        </w:tc>
        <w:tc>
          <w:tcPr>
            <w:tcW w:w="4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2EFD9" w:themeFill="accent6" w:themeFillTint="33"/>
            <w:tcMar>
              <w:left w:w="93" w:type="dxa"/>
            </w:tcMar>
          </w:tcPr>
          <w:p w:rsidR="00C14C05" w:rsidRDefault="00242566" w:rsidP="00242566">
            <w:pPr>
              <w:spacing w:before="144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Ano</w:t>
            </w:r>
          </w:p>
        </w:tc>
        <w:tc>
          <w:tcPr>
            <w:tcW w:w="2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C14C05" w:rsidRDefault="002675EA">
            <w:pPr>
              <w:spacing w:before="144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ANO </w:t>
            </w:r>
            <w:r w:rsidR="00242566">
              <w:rPr>
                <w:rFonts w:ascii="Tahoma" w:hAnsi="Tahoma" w:cs="Tahoma"/>
                <w:b/>
                <w:bCs/>
                <w:sz w:val="20"/>
                <w:szCs w:val="20"/>
              </w:rPr>
              <w:t>–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4 body</w:t>
            </w:r>
          </w:p>
          <w:p w:rsidR="00C14C05" w:rsidRDefault="002675EA">
            <w:pPr>
              <w:spacing w:before="144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NE – 0 bodů</w:t>
            </w:r>
          </w:p>
        </w:tc>
        <w:tc>
          <w:tcPr>
            <w:tcW w:w="3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C14C05" w:rsidRDefault="00C14C05">
            <w:pPr>
              <w:spacing w:before="144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C14C05">
        <w:tc>
          <w:tcPr>
            <w:tcW w:w="5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C14C05" w:rsidRDefault="002675EA">
            <w:pPr>
              <w:numPr>
                <w:ilvl w:val="0"/>
                <w:numId w:val="2"/>
              </w:numPr>
              <w:spacing w:before="144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Integrace/kompatibilita do stávajícího vakuového systému tokamaku GOLEM (analogové a digitální výstupy sledovaných </w:t>
            </w:r>
            <w:r>
              <w:rPr>
                <w:rFonts w:ascii="Tahoma" w:hAnsi="Tahoma" w:cs="Tahoma"/>
                <w:sz w:val="20"/>
                <w:szCs w:val="20"/>
              </w:rPr>
              <w:lastRenderedPageBreak/>
              <w:t>veličin, možnost ovládání přístroje přes externí I/O rozhraní, SCPI protokol ovládání přístroje přes ETH rozhraní)</w:t>
            </w:r>
          </w:p>
        </w:tc>
        <w:tc>
          <w:tcPr>
            <w:tcW w:w="4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2EFD9" w:themeFill="accent6" w:themeFillTint="33"/>
            <w:tcMar>
              <w:left w:w="93" w:type="dxa"/>
            </w:tcMar>
          </w:tcPr>
          <w:p w:rsidR="00C14C05" w:rsidRDefault="00D21D38" w:rsidP="00242566">
            <w:pPr>
              <w:spacing w:before="144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lastRenderedPageBreak/>
              <w:t>I/O rozhraní s</w:t>
            </w:r>
            <w:r w:rsidR="00242566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SCPI – Ano</w:t>
            </w:r>
          </w:p>
          <w:p w:rsidR="00242566" w:rsidRDefault="00242566" w:rsidP="00242566">
            <w:pPr>
              <w:spacing w:before="144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C14C05" w:rsidRDefault="002675EA">
            <w:pPr>
              <w:spacing w:before="144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ANO - 2 body</w:t>
            </w:r>
          </w:p>
          <w:p w:rsidR="00C14C05" w:rsidRDefault="002675EA">
            <w:pPr>
              <w:spacing w:before="144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NE – 0 bodů</w:t>
            </w:r>
          </w:p>
        </w:tc>
        <w:tc>
          <w:tcPr>
            <w:tcW w:w="3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C14C05" w:rsidRDefault="00C14C05">
            <w:pPr>
              <w:spacing w:before="144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C14C05">
        <w:trPr>
          <w:trHeight w:val="1418"/>
        </w:trPr>
        <w:tc>
          <w:tcPr>
            <w:tcW w:w="5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C14C05" w:rsidRDefault="002675EA">
            <w:pPr>
              <w:numPr>
                <w:ilvl w:val="0"/>
                <w:numId w:val="2"/>
              </w:numPr>
              <w:spacing w:before="144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Zákaznická podpora (hotline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service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, on-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site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service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, dostupnost náhradních dílů, termíny řešení případných oprav, možnost zapůjčení náhradního přístroje po dobu případné opravy)</w:t>
            </w:r>
            <w:r>
              <w:rPr>
                <w:rStyle w:val="FootnoteAnchor"/>
                <w:rFonts w:ascii="Tahoma" w:hAnsi="Tahoma" w:cs="Tahoma"/>
                <w:sz w:val="20"/>
                <w:szCs w:val="20"/>
              </w:rPr>
              <w:footnoteReference w:id="1"/>
            </w:r>
          </w:p>
        </w:tc>
        <w:tc>
          <w:tcPr>
            <w:tcW w:w="4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2EFD9" w:themeFill="accent6" w:themeFillTint="33"/>
            <w:tcMar>
              <w:left w:w="93" w:type="dxa"/>
            </w:tcMar>
          </w:tcPr>
          <w:p w:rsidR="00C14C05" w:rsidRDefault="00774708" w:rsidP="004C7BB7">
            <w:pPr>
              <w:spacing w:before="144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bookmarkStart w:id="0" w:name="_Hlk508869062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Hotline – </w:t>
            </w:r>
            <w:r w:rsidR="005E3CEC">
              <w:rPr>
                <w:rFonts w:ascii="Tahoma" w:hAnsi="Tahoma" w:cs="Tahoma"/>
                <w:b/>
                <w:bCs/>
                <w:sz w:val="20"/>
                <w:szCs w:val="20"/>
              </w:rPr>
              <w:t>Ano</w:t>
            </w:r>
          </w:p>
          <w:p w:rsidR="007F77C5" w:rsidRDefault="007F77C5" w:rsidP="004C7BB7">
            <w:pPr>
              <w:spacing w:before="144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On-</w:t>
            </w:r>
            <w:proofErr w:type="spellStart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site</w:t>
            </w:r>
            <w:proofErr w:type="spellEnd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– </w:t>
            </w:r>
            <w:r w:rsidR="005E3CEC">
              <w:rPr>
                <w:rFonts w:ascii="Tahoma" w:hAnsi="Tahoma" w:cs="Tahoma"/>
                <w:b/>
                <w:bCs/>
                <w:sz w:val="20"/>
                <w:szCs w:val="20"/>
              </w:rPr>
              <w:t>Ano</w:t>
            </w:r>
          </w:p>
          <w:p w:rsidR="005E3CEC" w:rsidRDefault="00B83A00" w:rsidP="004C7BB7">
            <w:pPr>
              <w:spacing w:before="144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ND – měrk</w:t>
            </w:r>
            <w:r w:rsidR="00DE6BE5">
              <w:rPr>
                <w:rFonts w:ascii="Tahoma" w:hAnsi="Tahoma" w:cs="Tahoma"/>
                <w:b/>
                <w:bCs/>
                <w:sz w:val="20"/>
                <w:szCs w:val="20"/>
              </w:rPr>
              <w:t>y a drobné díly skladem v Praze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</w:p>
          <w:p w:rsidR="00B83A00" w:rsidRDefault="005E3CEC" w:rsidP="004C7BB7">
            <w:pPr>
              <w:spacing w:before="144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S</w:t>
            </w:r>
            <w:r w:rsidR="00B83A00">
              <w:rPr>
                <w:rFonts w:ascii="Tahoma" w:hAnsi="Tahoma" w:cs="Tahoma"/>
                <w:b/>
                <w:bCs/>
                <w:sz w:val="20"/>
                <w:szCs w:val="20"/>
              </w:rPr>
              <w:t>ervis v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 Brně nebo Drážďanech</w:t>
            </w:r>
            <w:r w:rsidR="00DE6BE5">
              <w:rPr>
                <w:rFonts w:ascii="Tahoma" w:hAnsi="Tahoma" w:cs="Tahoma"/>
                <w:b/>
                <w:bCs/>
                <w:sz w:val="20"/>
                <w:szCs w:val="20"/>
              </w:rPr>
              <w:t>, termíny obvykle do 14 dnů</w:t>
            </w:r>
          </w:p>
          <w:p w:rsidR="00B83A00" w:rsidRPr="00B83A00" w:rsidRDefault="00B83A00" w:rsidP="004C7BB7">
            <w:pPr>
              <w:spacing w:before="144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Možnost zapůjčení </w:t>
            </w:r>
            <w:r w:rsidR="00DE6BE5">
              <w:rPr>
                <w:rFonts w:ascii="Tahoma" w:hAnsi="Tahoma" w:cs="Tahoma"/>
                <w:b/>
                <w:bCs/>
                <w:sz w:val="20"/>
                <w:szCs w:val="20"/>
              </w:rPr>
              <w:t>–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Ano</w:t>
            </w:r>
            <w:bookmarkEnd w:id="0"/>
          </w:p>
        </w:tc>
        <w:tc>
          <w:tcPr>
            <w:tcW w:w="2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C14C05" w:rsidRDefault="002675EA">
            <w:pPr>
              <w:spacing w:before="144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Celková kvalita a komplexnost nabídnutých zákaznických podpor budou seřazeny sestupně a body budou hodnoceny prvních 5 nejlepších nabídek sestupně od 5 do 1 bodu; zbylí dostanou 0 bodů</w:t>
            </w:r>
          </w:p>
        </w:tc>
        <w:tc>
          <w:tcPr>
            <w:tcW w:w="3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C14C05" w:rsidRDefault="00C14C05">
            <w:pPr>
              <w:spacing w:before="144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C14C05">
        <w:trPr>
          <w:trHeight w:val="1043"/>
        </w:trPr>
        <w:tc>
          <w:tcPr>
            <w:tcW w:w="5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C14C05" w:rsidRDefault="002675EA">
            <w:pPr>
              <w:numPr>
                <w:ilvl w:val="0"/>
                <w:numId w:val="2"/>
              </w:numPr>
              <w:spacing w:before="144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Záruční doba nad rámec </w:t>
            </w:r>
            <w:proofErr w:type="gramStart"/>
            <w:r>
              <w:rPr>
                <w:rFonts w:ascii="Tahoma" w:hAnsi="Tahoma" w:cs="Tahoma"/>
                <w:sz w:val="20"/>
                <w:szCs w:val="20"/>
              </w:rPr>
              <w:t>2 leté</w:t>
            </w:r>
            <w:proofErr w:type="gramEnd"/>
            <w:r>
              <w:rPr>
                <w:rFonts w:ascii="Tahoma" w:hAnsi="Tahoma" w:cs="Tahoma"/>
                <w:sz w:val="20"/>
                <w:szCs w:val="20"/>
              </w:rPr>
              <w:t xml:space="preserve"> zákonné lhůty</w:t>
            </w:r>
            <w:r>
              <w:rPr>
                <w:rStyle w:val="FootnoteAnchor"/>
                <w:rFonts w:ascii="Tahoma" w:hAnsi="Tahoma" w:cs="Tahoma"/>
                <w:sz w:val="20"/>
                <w:szCs w:val="20"/>
              </w:rPr>
              <w:footnoteReference w:id="2"/>
            </w:r>
          </w:p>
        </w:tc>
        <w:tc>
          <w:tcPr>
            <w:tcW w:w="4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2EFD9" w:themeFill="accent6" w:themeFillTint="33"/>
            <w:tcMar>
              <w:left w:w="93" w:type="dxa"/>
            </w:tcMar>
          </w:tcPr>
          <w:p w:rsidR="00C14C05" w:rsidRDefault="001B03E3" w:rsidP="004C7BB7">
            <w:pPr>
              <w:spacing w:before="144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2 roky </w:t>
            </w:r>
            <w:bookmarkStart w:id="1" w:name="_GoBack"/>
            <w:bookmarkEnd w:id="1"/>
          </w:p>
        </w:tc>
        <w:tc>
          <w:tcPr>
            <w:tcW w:w="2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C14C05" w:rsidRDefault="002675EA">
            <w:pPr>
              <w:spacing w:before="144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2 roky: 0 bodů</w:t>
            </w:r>
          </w:p>
          <w:p w:rsidR="00C14C05" w:rsidRDefault="002675EA">
            <w:pPr>
              <w:spacing w:before="144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3,4 roky: 2 body</w:t>
            </w:r>
          </w:p>
          <w:p w:rsidR="00C14C05" w:rsidRDefault="002675EA">
            <w:pPr>
              <w:spacing w:before="144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5 a více let: 4 body</w:t>
            </w:r>
          </w:p>
        </w:tc>
        <w:tc>
          <w:tcPr>
            <w:tcW w:w="3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C14C05" w:rsidRDefault="00C14C05">
            <w:pPr>
              <w:spacing w:before="144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</w:tbl>
    <w:p w:rsidR="00C14C05" w:rsidRDefault="002675EA" w:rsidP="002675EA">
      <w:pPr>
        <w:shd w:val="clear" w:color="auto" w:fill="E2EFD9" w:themeFill="accent6" w:themeFillTint="33"/>
      </w:pPr>
      <w:r w:rsidRPr="002675EA">
        <w:rPr>
          <w:rFonts w:ascii="Tahoma" w:hAnsi="Tahoma" w:cs="Tahoma"/>
          <w:b/>
          <w:sz w:val="20"/>
          <w:szCs w:val="20"/>
        </w:rPr>
        <w:t>*</w:t>
      </w:r>
      <w:r w:rsidRPr="002675EA">
        <w:rPr>
          <w:rFonts w:ascii="Tahoma" w:hAnsi="Tahoma" w:cs="Tahoma"/>
          <w:sz w:val="20"/>
          <w:szCs w:val="20"/>
        </w:rPr>
        <w:t>Zeleně označený sloupec doplní dodavatel.</w:t>
      </w:r>
    </w:p>
    <w:sectPr w:rsidR="00C14C05">
      <w:headerReference w:type="default" r:id="rId8"/>
      <w:footerReference w:type="default" r:id="rId9"/>
      <w:pgSz w:w="16838" w:h="11906" w:orient="landscape"/>
      <w:pgMar w:top="765" w:right="851" w:bottom="849" w:left="720" w:header="708" w:footer="708" w:gutter="0"/>
      <w:cols w:space="708"/>
      <w:formProt w:val="0"/>
      <w:docGrid w:linePitch="326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4371" w:rsidRDefault="00D34371">
      <w:r>
        <w:separator/>
      </w:r>
    </w:p>
  </w:endnote>
  <w:endnote w:type="continuationSeparator" w:id="0">
    <w:p w:rsidR="00D34371" w:rsidRDefault="00D34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unifont">
    <w:altName w:val="MS Gothic"/>
    <w:charset w:val="80"/>
    <w:family w:val="auto"/>
    <w:pitch w:val="variable"/>
  </w:font>
  <w:font w:name="DejaVu Sans">
    <w:altName w:val="MS Gothic"/>
    <w:charset w:val="8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4C05" w:rsidRDefault="002675EA">
    <w:pPr>
      <w:pStyle w:val="Zpat"/>
      <w:jc w:val="center"/>
    </w:pPr>
    <w:r>
      <w:fldChar w:fldCharType="begin"/>
    </w:r>
    <w:r>
      <w:instrText>PAGE</w:instrText>
    </w:r>
    <w:r>
      <w:fldChar w:fldCharType="separate"/>
    </w:r>
    <w:r w:rsidR="00206FB5">
      <w:rPr>
        <w:noProof/>
      </w:rPr>
      <w:t>3</w:t>
    </w:r>
    <w:r>
      <w:fldChar w:fldCharType="end"/>
    </w:r>
  </w:p>
  <w:p w:rsidR="00C14C05" w:rsidRDefault="00C14C0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4371" w:rsidRDefault="00D34371">
      <w:r>
        <w:separator/>
      </w:r>
    </w:p>
  </w:footnote>
  <w:footnote w:type="continuationSeparator" w:id="0">
    <w:p w:rsidR="00D34371" w:rsidRDefault="00D34371">
      <w:r>
        <w:continuationSeparator/>
      </w:r>
    </w:p>
  </w:footnote>
  <w:footnote w:id="1">
    <w:p w:rsidR="00C14C05" w:rsidRPr="0092099D" w:rsidRDefault="002675EA">
      <w:pPr>
        <w:pStyle w:val="Footnote"/>
        <w:rPr>
          <w:rFonts w:ascii="Tahoma" w:hAnsi="Tahoma" w:cs="Tahoma"/>
          <w:sz w:val="20"/>
          <w:szCs w:val="20"/>
        </w:rPr>
      </w:pPr>
      <w:r>
        <w:rPr>
          <w:rStyle w:val="Znakapoznpodarou"/>
        </w:rPr>
        <w:footnoteRef/>
      </w:r>
      <w:r w:rsidRPr="0092099D">
        <w:rPr>
          <w:rFonts w:ascii="Tahoma" w:hAnsi="Tahoma" w:cs="Tahoma"/>
          <w:sz w:val="20"/>
          <w:szCs w:val="20"/>
        </w:rPr>
        <w:t>Popis zákaznické podpory bude tvořit přílohu č. 4 kupní smlouvy</w:t>
      </w:r>
    </w:p>
  </w:footnote>
  <w:footnote w:id="2">
    <w:p w:rsidR="00C14C05" w:rsidRDefault="002675EA">
      <w:pPr>
        <w:pStyle w:val="Footnote"/>
      </w:pPr>
      <w:r w:rsidRPr="0092099D">
        <w:rPr>
          <w:rStyle w:val="Znakapoznpodarou"/>
          <w:rFonts w:ascii="Tahoma" w:hAnsi="Tahoma" w:cs="Tahoma"/>
          <w:sz w:val="20"/>
          <w:szCs w:val="20"/>
        </w:rPr>
        <w:footnoteRef/>
      </w:r>
      <w:r w:rsidRPr="0092099D">
        <w:rPr>
          <w:rFonts w:ascii="Tahoma" w:hAnsi="Tahoma" w:cs="Tahoma"/>
          <w:sz w:val="20"/>
          <w:szCs w:val="20"/>
        </w:rPr>
        <w:t>Délka záruční doby bude současně doplněna do návrhu kupní smlouvy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4C05" w:rsidRDefault="002675EA">
    <w:pPr>
      <w:pStyle w:val="Zhlav"/>
      <w:jc w:val="right"/>
      <w:rPr>
        <w:rFonts w:ascii="Tahoma" w:hAnsi="Tahoma" w:cs="Tahoma"/>
        <w:b/>
        <w:i/>
        <w:sz w:val="28"/>
        <w:szCs w:val="28"/>
      </w:rPr>
    </w:pPr>
    <w:r>
      <w:rPr>
        <w:rFonts w:ascii="Tahoma" w:hAnsi="Tahoma" w:cs="Tahoma"/>
        <w:b/>
        <w:i/>
        <w:sz w:val="28"/>
        <w:szCs w:val="28"/>
      </w:rPr>
      <w:t>Příloha č. 5 Výzvy k podání nabídek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C019A7"/>
    <w:multiLevelType w:val="multilevel"/>
    <w:tmpl w:val="9E92D820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7C6635A4"/>
    <w:multiLevelType w:val="multilevel"/>
    <w:tmpl w:val="1C565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0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u w:val="none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u w:val="none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u w:val="none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u w:val="none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u w:val="none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u w:val="none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4C05"/>
    <w:rsid w:val="000872F8"/>
    <w:rsid w:val="000E6D37"/>
    <w:rsid w:val="0019260F"/>
    <w:rsid w:val="001B03E3"/>
    <w:rsid w:val="00206FB5"/>
    <w:rsid w:val="00242566"/>
    <w:rsid w:val="002675EA"/>
    <w:rsid w:val="00377D1A"/>
    <w:rsid w:val="004C7BB7"/>
    <w:rsid w:val="005E3CEC"/>
    <w:rsid w:val="00650E74"/>
    <w:rsid w:val="00774708"/>
    <w:rsid w:val="00783E39"/>
    <w:rsid w:val="007C3394"/>
    <w:rsid w:val="007F77C5"/>
    <w:rsid w:val="00811BF0"/>
    <w:rsid w:val="00897E3A"/>
    <w:rsid w:val="0092099D"/>
    <w:rsid w:val="00942043"/>
    <w:rsid w:val="00A01896"/>
    <w:rsid w:val="00A575E2"/>
    <w:rsid w:val="00AF2488"/>
    <w:rsid w:val="00B70D0D"/>
    <w:rsid w:val="00B83A00"/>
    <w:rsid w:val="00B8460B"/>
    <w:rsid w:val="00BD61AA"/>
    <w:rsid w:val="00C07713"/>
    <w:rsid w:val="00C14C05"/>
    <w:rsid w:val="00C7423D"/>
    <w:rsid w:val="00D21D38"/>
    <w:rsid w:val="00D34371"/>
    <w:rsid w:val="00DE6BE5"/>
    <w:rsid w:val="00E739F0"/>
    <w:rsid w:val="00E93DFE"/>
    <w:rsid w:val="00F43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BA2DE"/>
  <w15:docId w15:val="{A67BF137-C5D5-4142-8D84-35E31A83E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ajorHAnsi" w:eastAsiaTheme="minorHAnsi" w:hAnsiTheme="majorHAnsi" w:cstheme="majorBidi"/>
        <w:b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76CCD"/>
    <w:pPr>
      <w:widowControl w:val="0"/>
      <w:suppressAutoHyphens/>
    </w:pPr>
    <w:rPr>
      <w:rFonts w:ascii="Times New Roman" w:eastAsia="unifont" w:hAnsi="Times New Roman" w:cs="DejaVu Sans"/>
      <w:b w:val="0"/>
      <w:color w:val="00000A"/>
      <w:sz w:val="24"/>
      <w:szCs w:val="24"/>
      <w:lang w:eastAsia="zh-CN" w:bidi="hi-IN"/>
    </w:rPr>
  </w:style>
  <w:style w:type="paragraph" w:styleId="Nadpis2">
    <w:name w:val="heading 2"/>
    <w:basedOn w:val="Normln"/>
    <w:link w:val="Nadpis2Char"/>
    <w:qFormat/>
    <w:rsid w:val="00476CCD"/>
    <w:pPr>
      <w:keepNext/>
      <w:numPr>
        <w:ilvl w:val="1"/>
        <w:numId w:val="1"/>
      </w:numPr>
      <w:spacing w:before="240" w:after="12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qFormat/>
    <w:rsid w:val="00476CCD"/>
    <w:rPr>
      <w:rFonts w:ascii="Arial" w:eastAsia="unifont" w:hAnsi="Arial" w:cs="DejaVu Sans"/>
      <w:bCs/>
      <w:i/>
      <w:iCs/>
      <w:sz w:val="28"/>
      <w:szCs w:val="28"/>
      <w:lang w:eastAsia="zh-CN" w:bidi="hi-IN"/>
    </w:rPr>
  </w:style>
  <w:style w:type="character" w:customStyle="1" w:styleId="ZkladntextChar">
    <w:name w:val="Základní text Char"/>
    <w:basedOn w:val="Standardnpsmoodstavce"/>
    <w:link w:val="TextBody"/>
    <w:qFormat/>
    <w:rsid w:val="00476CCD"/>
    <w:rPr>
      <w:rFonts w:ascii="Times New Roman" w:eastAsia="unifont" w:hAnsi="Times New Roman" w:cs="DejaVu Sans"/>
      <w:b w:val="0"/>
      <w:sz w:val="24"/>
      <w:szCs w:val="24"/>
      <w:lang w:eastAsia="zh-CN" w:bidi="hi-I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476CCD"/>
    <w:rPr>
      <w:rFonts w:ascii="Times New Roman" w:eastAsia="unifont" w:hAnsi="Times New Roman" w:cs="Mangal"/>
      <w:b w:val="0"/>
      <w:sz w:val="24"/>
      <w:szCs w:val="21"/>
      <w:lang w:val="en-US" w:eastAsia="zh-CN" w:bidi="hi-IN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1263FB"/>
    <w:rPr>
      <w:rFonts w:ascii="Times New Roman" w:eastAsia="unifont" w:hAnsi="Times New Roman" w:cs="Mangal"/>
      <w:b w:val="0"/>
      <w:sz w:val="24"/>
      <w:szCs w:val="21"/>
      <w:lang w:eastAsia="zh-CN" w:bidi="hi-IN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DE23A0"/>
    <w:rPr>
      <w:rFonts w:ascii="Tahoma" w:eastAsia="unifont" w:hAnsi="Tahoma" w:cs="Mangal"/>
      <w:b w:val="0"/>
      <w:sz w:val="16"/>
      <w:szCs w:val="14"/>
      <w:lang w:eastAsia="zh-CN" w:bidi="hi-IN"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C66163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C66163"/>
    <w:rPr>
      <w:rFonts w:ascii="Times New Roman" w:eastAsia="unifont" w:hAnsi="Times New Roman" w:cs="Mangal"/>
      <w:b w:val="0"/>
      <w:szCs w:val="18"/>
      <w:lang w:eastAsia="zh-CN" w:bidi="hi-IN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C66163"/>
    <w:rPr>
      <w:rFonts w:ascii="Times New Roman" w:eastAsia="unifont" w:hAnsi="Times New Roman" w:cs="Mangal"/>
      <w:b/>
      <w:bCs/>
      <w:szCs w:val="18"/>
      <w:lang w:eastAsia="zh-CN" w:bidi="hi-IN"/>
    </w:rPr>
  </w:style>
  <w:style w:type="character" w:customStyle="1" w:styleId="ListLabel1">
    <w:name w:val="ListLabel 1"/>
    <w:qFormat/>
    <w:rPr>
      <w:rFonts w:ascii="Tahoma" w:hAnsi="Tahoma"/>
      <w:b/>
      <w:bCs/>
      <w:sz w:val="20"/>
      <w:u w:val="none"/>
    </w:rPr>
  </w:style>
  <w:style w:type="character" w:customStyle="1" w:styleId="ListLabel2">
    <w:name w:val="ListLabel 2"/>
    <w:qFormat/>
    <w:rPr>
      <w:b/>
      <w:bCs/>
      <w:u w:val="none"/>
    </w:rPr>
  </w:style>
  <w:style w:type="character" w:customStyle="1" w:styleId="ListLabel3">
    <w:name w:val="ListLabel 3"/>
    <w:qFormat/>
    <w:rPr>
      <w:b/>
      <w:bCs/>
      <w:u w:val="none"/>
    </w:rPr>
  </w:style>
  <w:style w:type="character" w:customStyle="1" w:styleId="ListLabel4">
    <w:name w:val="ListLabel 4"/>
    <w:qFormat/>
    <w:rPr>
      <w:b/>
      <w:bCs/>
      <w:u w:val="none"/>
    </w:rPr>
  </w:style>
  <w:style w:type="character" w:customStyle="1" w:styleId="ListLabel5">
    <w:name w:val="ListLabel 5"/>
    <w:qFormat/>
    <w:rPr>
      <w:b/>
      <w:bCs/>
      <w:u w:val="none"/>
    </w:rPr>
  </w:style>
  <w:style w:type="character" w:customStyle="1" w:styleId="ListLabel6">
    <w:name w:val="ListLabel 6"/>
    <w:qFormat/>
    <w:rPr>
      <w:b/>
      <w:bCs/>
      <w:u w:val="none"/>
    </w:rPr>
  </w:style>
  <w:style w:type="character" w:customStyle="1" w:styleId="ListLabel7">
    <w:name w:val="ListLabel 7"/>
    <w:qFormat/>
    <w:rPr>
      <w:b/>
      <w:bCs/>
      <w:u w:val="none"/>
    </w:rPr>
  </w:style>
  <w:style w:type="character" w:customStyle="1" w:styleId="ListLabel8">
    <w:name w:val="ListLabel 8"/>
    <w:qFormat/>
    <w:rPr>
      <w:b/>
      <w:bCs/>
      <w:u w:val="none"/>
    </w:rPr>
  </w:style>
  <w:style w:type="character" w:customStyle="1" w:styleId="ListLabel9">
    <w:name w:val="ListLabel 9"/>
    <w:qFormat/>
    <w:rPr>
      <w:b/>
      <w:bCs/>
      <w:u w:val="none"/>
    </w:rPr>
  </w:style>
  <w:style w:type="character" w:customStyle="1" w:styleId="ListLabel10">
    <w:name w:val="ListLabel 10"/>
    <w:qFormat/>
    <w:rPr>
      <w:b/>
      <w:bCs/>
      <w:u w:val="none"/>
    </w:rPr>
  </w:style>
  <w:style w:type="character" w:customStyle="1" w:styleId="ListLabel11">
    <w:name w:val="ListLabel 11"/>
    <w:qFormat/>
    <w:rPr>
      <w:b/>
      <w:bCs/>
      <w:u w:val="none"/>
    </w:rPr>
  </w:style>
  <w:style w:type="character" w:customStyle="1" w:styleId="ListLabel12">
    <w:name w:val="ListLabel 12"/>
    <w:qFormat/>
    <w:rPr>
      <w:b/>
      <w:bCs/>
      <w:u w:val="none"/>
    </w:rPr>
  </w:style>
  <w:style w:type="character" w:customStyle="1" w:styleId="ListLabel13">
    <w:name w:val="ListLabel 13"/>
    <w:qFormat/>
    <w:rPr>
      <w:b/>
      <w:bCs/>
      <w:u w:val="none"/>
    </w:rPr>
  </w:style>
  <w:style w:type="character" w:customStyle="1" w:styleId="ListLabel14">
    <w:name w:val="ListLabel 14"/>
    <w:qFormat/>
    <w:rPr>
      <w:b/>
      <w:bCs/>
      <w:u w:val="none"/>
    </w:rPr>
  </w:style>
  <w:style w:type="character" w:customStyle="1" w:styleId="ListLabel15">
    <w:name w:val="ListLabel 15"/>
    <w:qFormat/>
    <w:rPr>
      <w:b/>
      <w:bCs/>
      <w:u w:val="none"/>
    </w:rPr>
  </w:style>
  <w:style w:type="character" w:customStyle="1" w:styleId="ListLabel16">
    <w:name w:val="ListLabel 16"/>
    <w:qFormat/>
    <w:rPr>
      <w:b/>
      <w:bCs/>
      <w:u w:val="none"/>
    </w:rPr>
  </w:style>
  <w:style w:type="character" w:customStyle="1" w:styleId="ListLabel17">
    <w:name w:val="ListLabel 17"/>
    <w:qFormat/>
    <w:rPr>
      <w:b/>
      <w:bCs/>
      <w:u w:val="none"/>
    </w:rPr>
  </w:style>
  <w:style w:type="character" w:customStyle="1" w:styleId="ListLabel18">
    <w:name w:val="ListLabel 18"/>
    <w:qFormat/>
    <w:rPr>
      <w:b/>
      <w:bCs/>
      <w:u w:val="none"/>
    </w:rPr>
  </w:style>
  <w:style w:type="character" w:customStyle="1" w:styleId="ListLabel19">
    <w:name w:val="ListLabel 19"/>
    <w:qFormat/>
    <w:rPr>
      <w:rFonts w:ascii="Tahoma" w:hAnsi="Tahoma"/>
      <w:b/>
      <w:bCs/>
      <w:sz w:val="20"/>
      <w:u w:val="none"/>
    </w:rPr>
  </w:style>
  <w:style w:type="character" w:customStyle="1" w:styleId="ListLabel20">
    <w:name w:val="ListLabel 20"/>
    <w:qFormat/>
    <w:rPr>
      <w:b/>
      <w:bCs/>
      <w:u w:val="none"/>
    </w:rPr>
  </w:style>
  <w:style w:type="character" w:customStyle="1" w:styleId="ListLabel21">
    <w:name w:val="ListLabel 21"/>
    <w:qFormat/>
    <w:rPr>
      <w:b/>
      <w:bCs/>
      <w:u w:val="none"/>
    </w:rPr>
  </w:style>
  <w:style w:type="character" w:customStyle="1" w:styleId="ListLabel22">
    <w:name w:val="ListLabel 22"/>
    <w:qFormat/>
    <w:rPr>
      <w:b/>
      <w:bCs/>
      <w:u w:val="none"/>
    </w:rPr>
  </w:style>
  <w:style w:type="character" w:customStyle="1" w:styleId="ListLabel23">
    <w:name w:val="ListLabel 23"/>
    <w:qFormat/>
    <w:rPr>
      <w:b/>
      <w:bCs/>
      <w:u w:val="none"/>
    </w:rPr>
  </w:style>
  <w:style w:type="character" w:customStyle="1" w:styleId="ListLabel24">
    <w:name w:val="ListLabel 24"/>
    <w:qFormat/>
    <w:rPr>
      <w:b/>
      <w:bCs/>
      <w:u w:val="none"/>
    </w:rPr>
  </w:style>
  <w:style w:type="character" w:customStyle="1" w:styleId="ListLabel25">
    <w:name w:val="ListLabel 25"/>
    <w:qFormat/>
    <w:rPr>
      <w:b/>
      <w:bCs/>
      <w:u w:val="none"/>
    </w:rPr>
  </w:style>
  <w:style w:type="character" w:customStyle="1" w:styleId="ListLabel26">
    <w:name w:val="ListLabel 26"/>
    <w:qFormat/>
    <w:rPr>
      <w:b/>
      <w:bCs/>
      <w:u w:val="none"/>
    </w:rPr>
  </w:style>
  <w:style w:type="character" w:customStyle="1" w:styleId="ListLabel27">
    <w:name w:val="ListLabel 27"/>
    <w:qFormat/>
    <w:rPr>
      <w:b/>
      <w:bCs/>
      <w:u w:val="none"/>
    </w:rPr>
  </w:style>
  <w:style w:type="character" w:customStyle="1" w:styleId="ListLabel28">
    <w:name w:val="ListLabel 28"/>
    <w:qFormat/>
    <w:rPr>
      <w:rFonts w:ascii="Tahoma" w:hAnsi="Tahoma"/>
      <w:b/>
      <w:bCs/>
      <w:sz w:val="20"/>
      <w:u w:val="none"/>
    </w:rPr>
  </w:style>
  <w:style w:type="character" w:customStyle="1" w:styleId="ListLabel29">
    <w:name w:val="ListLabel 29"/>
    <w:qFormat/>
    <w:rPr>
      <w:b/>
      <w:bCs/>
      <w:u w:val="none"/>
    </w:rPr>
  </w:style>
  <w:style w:type="character" w:customStyle="1" w:styleId="ListLabel30">
    <w:name w:val="ListLabel 30"/>
    <w:qFormat/>
    <w:rPr>
      <w:b/>
      <w:bCs/>
      <w:u w:val="none"/>
    </w:rPr>
  </w:style>
  <w:style w:type="character" w:customStyle="1" w:styleId="ListLabel31">
    <w:name w:val="ListLabel 31"/>
    <w:qFormat/>
    <w:rPr>
      <w:b/>
      <w:bCs/>
      <w:u w:val="none"/>
    </w:rPr>
  </w:style>
  <w:style w:type="character" w:customStyle="1" w:styleId="ListLabel32">
    <w:name w:val="ListLabel 32"/>
    <w:qFormat/>
    <w:rPr>
      <w:b/>
      <w:bCs/>
      <w:u w:val="none"/>
    </w:rPr>
  </w:style>
  <w:style w:type="character" w:customStyle="1" w:styleId="ListLabel33">
    <w:name w:val="ListLabel 33"/>
    <w:qFormat/>
    <w:rPr>
      <w:b/>
      <w:bCs/>
      <w:u w:val="none"/>
    </w:rPr>
  </w:style>
  <w:style w:type="character" w:customStyle="1" w:styleId="ListLabel34">
    <w:name w:val="ListLabel 34"/>
    <w:qFormat/>
    <w:rPr>
      <w:b/>
      <w:bCs/>
      <w:u w:val="none"/>
    </w:rPr>
  </w:style>
  <w:style w:type="character" w:customStyle="1" w:styleId="ListLabel35">
    <w:name w:val="ListLabel 35"/>
    <w:qFormat/>
    <w:rPr>
      <w:b/>
      <w:bCs/>
      <w:u w:val="none"/>
    </w:rPr>
  </w:style>
  <w:style w:type="character" w:customStyle="1" w:styleId="ListLabel36">
    <w:name w:val="ListLabel 36"/>
    <w:qFormat/>
    <w:rPr>
      <w:b/>
      <w:bCs/>
      <w:u w:val="none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qFormat/>
    <w:rsid w:val="00425DA7"/>
    <w:rPr>
      <w:rFonts w:ascii="Times New Roman" w:eastAsia="unifont" w:hAnsi="Times New Roman" w:cs="Mangal"/>
      <w:b w:val="0"/>
      <w:color w:val="00000A"/>
      <w:szCs w:val="18"/>
      <w:lang w:eastAsia="zh-CN" w:bidi="hi-IN"/>
    </w:rPr>
  </w:style>
  <w:style w:type="character" w:styleId="Znakapoznpodarou">
    <w:name w:val="footnote reference"/>
    <w:basedOn w:val="Standardnpsmoodstavce"/>
    <w:uiPriority w:val="99"/>
    <w:semiHidden/>
    <w:unhideWhenUsed/>
    <w:qFormat/>
    <w:rsid w:val="00425DA7"/>
    <w:rPr>
      <w:vertAlign w:val="superscript"/>
    </w:rPr>
  </w:style>
  <w:style w:type="character" w:customStyle="1" w:styleId="ListLabel37">
    <w:name w:val="ListLabel 37"/>
    <w:qFormat/>
    <w:rPr>
      <w:rFonts w:ascii="Tahoma" w:hAnsi="Tahoma"/>
      <w:b/>
      <w:bCs/>
      <w:sz w:val="20"/>
      <w:u w:val="none"/>
    </w:rPr>
  </w:style>
  <w:style w:type="character" w:customStyle="1" w:styleId="ListLabel38">
    <w:name w:val="ListLabel 38"/>
    <w:qFormat/>
    <w:rPr>
      <w:b/>
      <w:bCs/>
      <w:u w:val="none"/>
    </w:rPr>
  </w:style>
  <w:style w:type="character" w:customStyle="1" w:styleId="FootnoteCharacters">
    <w:name w:val="Footnote Characters"/>
    <w:qFormat/>
  </w:style>
  <w:style w:type="character" w:customStyle="1" w:styleId="FootnoteAnchor">
    <w:name w:val="Footnote Anchor"/>
    <w:rPr>
      <w:vertAlign w:val="superscript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ln"/>
    <w:next w:val="TextBody"/>
    <w:qFormat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customStyle="1" w:styleId="TextBody">
    <w:name w:val="Text Body"/>
    <w:basedOn w:val="Normln"/>
    <w:link w:val="ZkladntextChar"/>
    <w:rsid w:val="00476CCD"/>
    <w:pPr>
      <w:spacing w:after="120"/>
    </w:pPr>
  </w:style>
  <w:style w:type="paragraph" w:styleId="Seznam">
    <w:name w:val="List"/>
    <w:basedOn w:val="TextBody"/>
    <w:rPr>
      <w:rFonts w:cs="Lohit Devanagari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Normln"/>
    <w:qFormat/>
    <w:pPr>
      <w:suppressLineNumbers/>
    </w:pPr>
    <w:rPr>
      <w:rFonts w:cs="Lohit Devanagari"/>
    </w:rPr>
  </w:style>
  <w:style w:type="paragraph" w:styleId="Zpat">
    <w:name w:val="footer"/>
    <w:basedOn w:val="Normln"/>
    <w:link w:val="ZpatChar"/>
    <w:uiPriority w:val="99"/>
    <w:unhideWhenUsed/>
    <w:rsid w:val="00476CCD"/>
    <w:pPr>
      <w:tabs>
        <w:tab w:val="center" w:pos="4536"/>
        <w:tab w:val="right" w:pos="9072"/>
      </w:tabs>
    </w:pPr>
    <w:rPr>
      <w:rFonts w:cs="Mangal"/>
      <w:szCs w:val="21"/>
      <w:lang w:val="en-US"/>
    </w:rPr>
  </w:style>
  <w:style w:type="paragraph" w:styleId="Zhlav">
    <w:name w:val="header"/>
    <w:basedOn w:val="Normln"/>
    <w:link w:val="ZhlavChar"/>
    <w:uiPriority w:val="99"/>
    <w:unhideWhenUsed/>
    <w:rsid w:val="001263FB"/>
    <w:pPr>
      <w:tabs>
        <w:tab w:val="center" w:pos="4536"/>
        <w:tab w:val="right" w:pos="9072"/>
      </w:tabs>
    </w:pPr>
    <w:rPr>
      <w:rFonts w:cs="Mangal"/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DE23A0"/>
    <w:rPr>
      <w:rFonts w:ascii="Tahoma" w:hAnsi="Tahoma" w:cs="Mangal"/>
      <w:sz w:val="16"/>
      <w:szCs w:val="14"/>
    </w:r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C66163"/>
    <w:rPr>
      <w:rFonts w:cs="Mangal"/>
      <w:sz w:val="20"/>
      <w:szCs w:val="18"/>
    </w:rPr>
  </w:style>
  <w:style w:type="paragraph" w:styleId="Pedmtkomente">
    <w:name w:val="annotation subject"/>
    <w:basedOn w:val="Textkomente"/>
    <w:link w:val="PedmtkomenteChar"/>
    <w:uiPriority w:val="99"/>
    <w:semiHidden/>
    <w:unhideWhenUsed/>
    <w:qFormat/>
    <w:rsid w:val="00C66163"/>
    <w:rPr>
      <w:b/>
      <w:bCs/>
    </w:rPr>
  </w:style>
  <w:style w:type="paragraph" w:customStyle="1" w:styleId="TableContents">
    <w:name w:val="Table Contents"/>
    <w:basedOn w:val="Normln"/>
    <w:qFormat/>
  </w:style>
  <w:style w:type="paragraph" w:customStyle="1" w:styleId="TableHeading">
    <w:name w:val="Table Heading"/>
    <w:basedOn w:val="TableContents"/>
    <w:qFormat/>
  </w:style>
  <w:style w:type="paragraph" w:styleId="Textpoznpodarou">
    <w:name w:val="footnote text"/>
    <w:basedOn w:val="Normln"/>
    <w:link w:val="TextpoznpodarouChar"/>
    <w:uiPriority w:val="99"/>
    <w:semiHidden/>
    <w:unhideWhenUsed/>
    <w:qFormat/>
    <w:rsid w:val="00425DA7"/>
    <w:rPr>
      <w:rFonts w:cs="Mangal"/>
      <w:sz w:val="20"/>
      <w:szCs w:val="18"/>
    </w:rPr>
  </w:style>
  <w:style w:type="paragraph" w:customStyle="1" w:styleId="Footnote">
    <w:name w:val="Footnote"/>
    <w:basedOn w:val="Normln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597F61-FD51-42F7-B686-257298DE6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3</Pages>
  <Words>343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 Gawlová</dc:creator>
  <cp:lastModifiedBy>jaroslav weinfurtner</cp:lastModifiedBy>
  <cp:revision>20</cp:revision>
  <dcterms:created xsi:type="dcterms:W3CDTF">2018-03-06T11:29:00Z</dcterms:created>
  <dcterms:modified xsi:type="dcterms:W3CDTF">2018-03-15T09:44:00Z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