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86" w:rsidRDefault="005D44CA">
      <w:pPr>
        <w:spacing w:after="256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32"/>
        </w:rPr>
        <w:t>O</w:t>
      </w:r>
    </w:p>
    <w:p w:rsidR="00673F86" w:rsidRDefault="005D44CA">
      <w:pPr>
        <w:spacing w:after="130" w:line="259" w:lineRule="auto"/>
        <w:ind w:left="62" w:right="0" w:hanging="10"/>
        <w:jc w:val="left"/>
      </w:pPr>
      <w:r>
        <w:rPr>
          <w:sz w:val="20"/>
        </w:rPr>
        <w:t>co</w:t>
      </w:r>
    </w:p>
    <w:p w:rsidR="00673F86" w:rsidRDefault="005D44CA">
      <w:pPr>
        <w:pStyle w:val="Nadpis1"/>
      </w:pPr>
      <w:r>
        <w:t>SMLOUVA O DÍLO</w:t>
      </w:r>
    </w:p>
    <w:p w:rsidR="00673F86" w:rsidRDefault="005D44CA">
      <w:pPr>
        <w:spacing w:after="49" w:line="259" w:lineRule="auto"/>
        <w:ind w:left="0" w:right="144" w:firstLine="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objednatele: 1320/12207/2016</w:t>
      </w:r>
    </w:p>
    <w:p w:rsidR="00673F86" w:rsidRDefault="005D44CA">
      <w:pPr>
        <w:spacing w:after="736" w:line="265" w:lineRule="auto"/>
        <w:ind w:left="3337" w:right="0" w:hanging="10"/>
        <w:jc w:val="left"/>
      </w:pPr>
      <w:proofErr w:type="spellStart"/>
      <w:proofErr w:type="gramStart"/>
      <w:r>
        <w:t>č.smlouvy</w:t>
      </w:r>
      <w:proofErr w:type="spellEnd"/>
      <w:proofErr w:type="gramEnd"/>
      <w:r>
        <w:t xml:space="preserve"> zhotovitele:</w:t>
      </w:r>
      <w:r>
        <w:rPr>
          <w:noProof/>
        </w:rPr>
        <w:drawing>
          <wp:inline distT="0" distB="0" distL="0" distR="0">
            <wp:extent cx="533472" cy="24386"/>
            <wp:effectExtent l="0" t="0" r="0" b="0"/>
            <wp:docPr id="22309" name="Picture 2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9" name="Picture 22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7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86" w:rsidRDefault="005D44CA">
      <w:pPr>
        <w:spacing w:after="249" w:line="265" w:lineRule="auto"/>
        <w:ind w:left="605" w:right="0" w:hanging="10"/>
        <w:jc w:val="left"/>
      </w:pPr>
      <w:r>
        <w:t>NA ZHOTOVENÍ STAVEBNÍCH PRACÍ „</w:t>
      </w:r>
      <w:r>
        <w:t xml:space="preserve"> Oprava oplocení - pachové ohradníky 2016”</w:t>
      </w:r>
    </w:p>
    <w:p w:rsidR="00673F86" w:rsidRDefault="005D44CA">
      <w:pPr>
        <w:spacing w:after="0" w:line="259" w:lineRule="auto"/>
        <w:ind w:left="365" w:right="0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</w:t>
      </w:r>
    </w:p>
    <w:tbl>
      <w:tblPr>
        <w:tblStyle w:val="TableGrid"/>
        <w:tblW w:w="8579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4306"/>
      </w:tblGrid>
      <w:tr w:rsidR="00673F86">
        <w:trPr>
          <w:trHeight w:val="61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0" w:right="0" w:firstLine="0"/>
              <w:jc w:val="left"/>
            </w:pPr>
            <w:r>
              <w:t>se sídlem: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4" w:right="0" w:hanging="14"/>
            </w:pPr>
            <w:r>
              <w:t>Na Pankráci 546/56, 140 OO Praha 4 - Nusle 659 93 390</w:t>
            </w:r>
          </w:p>
        </w:tc>
      </w:tr>
      <w:tr w:rsidR="00673F86">
        <w:trPr>
          <w:trHeight w:val="321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5" w:right="0" w:firstLine="0"/>
              <w:jc w:val="left"/>
            </w:pPr>
            <w:r>
              <w:t>DIČ: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4" w:right="0" w:firstLine="0"/>
              <w:jc w:val="left"/>
            </w:pPr>
            <w:r>
              <w:t>CZ65993390</w:t>
            </w:r>
          </w:p>
        </w:tc>
      </w:tr>
      <w:tr w:rsidR="00673F86">
        <w:trPr>
          <w:trHeight w:val="593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283" w:firstLine="0"/>
            </w:pPr>
            <w:r>
              <w:t xml:space="preserve">osoba jednající jménem zadavatele: osoba oprávněná jednat </w:t>
            </w:r>
            <w:r>
              <w:rPr>
                <w:noProof/>
              </w:rPr>
              <w:drawing>
                <wp:inline distT="0" distB="0" distL="0" distR="0">
                  <wp:extent cx="27436" cy="12193"/>
                  <wp:effectExtent l="0" t="0" r="0" b="0"/>
                  <wp:docPr id="936" name="Picture 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8775" cy="82304"/>
                  <wp:effectExtent l="0" t="0" r="0" b="0"/>
                  <wp:docPr id="935" name="Picture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5" cy="8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 w:rsidP="00124F58">
            <w:pPr>
              <w:spacing w:after="0" w:line="259" w:lineRule="auto"/>
              <w:ind w:left="10" w:right="0" w:firstLine="0"/>
              <w:jc w:val="left"/>
            </w:pPr>
            <w:r>
              <w:t xml:space="preserve">Ing. </w:t>
            </w:r>
            <w:proofErr w:type="spellStart"/>
            <w:r w:rsidR="00124F58" w:rsidRPr="00124F58">
              <w:rPr>
                <w:highlight w:val="black"/>
              </w:rPr>
              <w:t>xxxxxxxxxxxx</w:t>
            </w:r>
            <w:proofErr w:type="spellEnd"/>
            <w:r>
              <w:t>, generální ředitel</w:t>
            </w:r>
          </w:p>
        </w:tc>
      </w:tr>
      <w:tr w:rsidR="00673F86">
        <w:trPr>
          <w:trHeight w:val="267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r>
              <w:t>ve věcech smluvních: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 w:rsidP="00124F58">
            <w:pPr>
              <w:spacing w:after="0" w:line="259" w:lineRule="auto"/>
              <w:ind w:left="10" w:right="0" w:firstLine="0"/>
              <w:jc w:val="left"/>
            </w:pPr>
            <w:r>
              <w:t xml:space="preserve">Ing. </w:t>
            </w:r>
            <w:proofErr w:type="spellStart"/>
            <w:r w:rsidR="00124F58" w:rsidRPr="00124F58">
              <w:rPr>
                <w:highlight w:val="black"/>
              </w:rPr>
              <w:t>xxxxxxxxxxxxxxxxxxxxxxxxxxx</w:t>
            </w:r>
            <w:proofErr w:type="spellEnd"/>
          </w:p>
        </w:tc>
      </w:tr>
      <w:tr w:rsidR="00673F86">
        <w:trPr>
          <w:trHeight w:val="268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r>
              <w:t>ve věcech technických: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124F58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124F58">
              <w:rPr>
                <w:highlight w:val="black"/>
              </w:rPr>
              <w:t>xxxxxxxxxxxxxxxxxxxxxxx</w:t>
            </w:r>
            <w:proofErr w:type="spellEnd"/>
            <w:r w:rsidR="005D44CA" w:rsidRPr="00124F58">
              <w:rPr>
                <w:highlight w:val="black"/>
              </w:rPr>
              <w:t>.</w:t>
            </w:r>
          </w:p>
        </w:tc>
      </w:tr>
    </w:tbl>
    <w:p w:rsidR="00673F86" w:rsidRDefault="005D44CA">
      <w:pPr>
        <w:spacing w:after="342" w:line="259" w:lineRule="auto"/>
        <w:ind w:left="365" w:right="0" w:hanging="10"/>
        <w:jc w:val="left"/>
      </w:pPr>
      <w:r>
        <w:rPr>
          <w:sz w:val="26"/>
        </w:rPr>
        <w:t>(dále jen „Objednatel”)</w:t>
      </w:r>
    </w:p>
    <w:p w:rsidR="00673F86" w:rsidRDefault="005D44CA">
      <w:pPr>
        <w:spacing w:after="364" w:line="265" w:lineRule="auto"/>
        <w:ind w:left="350" w:right="0" w:hanging="10"/>
        <w:jc w:val="left"/>
      </w:pPr>
      <w:r>
        <w:t>na straně jedné</w:t>
      </w:r>
    </w:p>
    <w:p w:rsidR="00673F86" w:rsidRDefault="005D44CA">
      <w:pPr>
        <w:spacing w:after="342" w:line="259" w:lineRule="auto"/>
        <w:ind w:left="365" w:right="0" w:hanging="10"/>
        <w:jc w:val="left"/>
      </w:pPr>
      <w:r>
        <w:rPr>
          <w:sz w:val="26"/>
        </w:rPr>
        <w:t>a</w:t>
      </w:r>
    </w:p>
    <w:p w:rsidR="00673F86" w:rsidRDefault="005D44CA">
      <w:pPr>
        <w:spacing w:after="101" w:line="259" w:lineRule="auto"/>
        <w:ind w:left="365" w:right="0" w:hanging="10"/>
        <w:jc w:val="left"/>
      </w:pPr>
      <w:r>
        <w:rPr>
          <w:sz w:val="26"/>
        </w:rPr>
        <w:t>Pachové Ohradníky s.r.o.</w:t>
      </w:r>
    </w:p>
    <w:tbl>
      <w:tblPr>
        <w:tblStyle w:val="TableGrid"/>
        <w:tblW w:w="8420" w:type="dxa"/>
        <w:tblInd w:w="35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5573"/>
      </w:tblGrid>
      <w:tr w:rsidR="00673F86">
        <w:trPr>
          <w:trHeight w:val="271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5" w:right="0" w:firstLine="0"/>
              <w:jc w:val="left"/>
            </w:pPr>
            <w:r>
              <w:t>se sídlem: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</w:pPr>
            <w:r>
              <w:t>Na Slavíkově 535/25, Dolní Měcholupy, 109 00 Praha 10</w:t>
            </w:r>
          </w:p>
        </w:tc>
      </w:tr>
      <w:tr w:rsidR="00673F86">
        <w:trPr>
          <w:trHeight w:val="323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5" w:right="0" w:firstLine="0"/>
              <w:jc w:val="left"/>
            </w:pPr>
            <w:r>
              <w:t>247 36 864</w:t>
            </w:r>
          </w:p>
        </w:tc>
      </w:tr>
      <w:tr w:rsidR="00673F86">
        <w:trPr>
          <w:trHeight w:val="257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0" w:right="0" w:firstLine="0"/>
              <w:jc w:val="left"/>
            </w:pPr>
            <w:r>
              <w:t>CZ24736864</w:t>
            </w:r>
          </w:p>
        </w:tc>
      </w:tr>
    </w:tbl>
    <w:p w:rsidR="00673F86" w:rsidRDefault="005D44CA">
      <w:pPr>
        <w:spacing w:after="0" w:line="265" w:lineRule="auto"/>
        <w:ind w:left="350" w:right="0" w:hanging="10"/>
        <w:jc w:val="left"/>
      </w:pPr>
      <w:r>
        <w:t>zápis v obchodním rejstříku: C 170092 vedená u Městského soudu v Praze</w:t>
      </w:r>
    </w:p>
    <w:tbl>
      <w:tblPr>
        <w:tblStyle w:val="TableGrid"/>
        <w:tblW w:w="5319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2857"/>
      </w:tblGrid>
      <w:tr w:rsidR="00673F86">
        <w:trPr>
          <w:trHeight w:val="27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124F58">
            <w:pPr>
              <w:spacing w:after="0" w:line="259" w:lineRule="auto"/>
              <w:ind w:left="101" w:right="0" w:firstLine="0"/>
              <w:jc w:val="left"/>
            </w:pPr>
            <w:proofErr w:type="spellStart"/>
            <w:r w:rsidRPr="00124F58">
              <w:rPr>
                <w:highlight w:val="black"/>
              </w:rPr>
              <w:t>xxxxxxxxxxxxxxxxxxxxxx</w:t>
            </w:r>
            <w:proofErr w:type="spellEnd"/>
          </w:p>
        </w:tc>
      </w:tr>
      <w:tr w:rsidR="00673F86">
        <w:trPr>
          <w:trHeight w:val="299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bankovní spojení: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110" w:right="0" w:firstLine="0"/>
              <w:jc w:val="left"/>
            </w:pPr>
            <w:r>
              <w:t>ČSOB</w:t>
            </w:r>
          </w:p>
        </w:tc>
      </w:tr>
      <w:tr w:rsidR="00673F86">
        <w:trPr>
          <w:trHeight w:val="617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46" w:line="259" w:lineRule="auto"/>
              <w:ind w:left="5" w:right="0" w:firstLine="0"/>
              <w:jc w:val="left"/>
            </w:pPr>
            <w:r>
              <w:rPr>
                <w:sz w:val="22"/>
              </w:rPr>
              <w:t>číslo účtu:</w:t>
            </w:r>
          </w:p>
          <w:p w:rsidR="00673F86" w:rsidRDefault="005D44CA">
            <w:pPr>
              <w:spacing w:after="0" w:line="259" w:lineRule="auto"/>
              <w:ind w:left="10" w:right="0" w:firstLine="0"/>
              <w:jc w:val="left"/>
            </w:pPr>
            <w:r>
              <w:t>Oprávněn jednat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124F58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124F58">
              <w:rPr>
                <w:sz w:val="22"/>
                <w:highlight w:val="black"/>
              </w:rPr>
              <w:t>xxxxxxxxxxxxxxxxxxx</w:t>
            </w:r>
            <w:proofErr w:type="spellEnd"/>
          </w:p>
        </w:tc>
      </w:tr>
      <w:tr w:rsidR="00673F86">
        <w:trPr>
          <w:trHeight w:val="312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5" w:right="0" w:firstLine="0"/>
              <w:jc w:val="left"/>
            </w:pPr>
            <w:r>
              <w:t>ve věcech smluvních: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124F58">
            <w:pPr>
              <w:spacing w:after="0" w:line="259" w:lineRule="auto"/>
              <w:ind w:left="96" w:right="0" w:firstLine="0"/>
            </w:pPr>
            <w:proofErr w:type="spellStart"/>
            <w:r w:rsidRPr="00124F58">
              <w:rPr>
                <w:highlight w:val="black"/>
              </w:rPr>
              <w:t>xxxxxxxxxxxxxxxxxxxxxxx</w:t>
            </w:r>
            <w:proofErr w:type="spellEnd"/>
          </w:p>
        </w:tc>
      </w:tr>
      <w:tr w:rsidR="00673F86">
        <w:trPr>
          <w:trHeight w:val="30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5D44CA">
            <w:pPr>
              <w:spacing w:after="0" w:line="259" w:lineRule="auto"/>
              <w:ind w:left="0" w:right="0" w:firstLine="0"/>
              <w:jc w:val="left"/>
            </w:pPr>
            <w:r>
              <w:t>ve věcech technických: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673F86" w:rsidRDefault="00124F58">
            <w:pPr>
              <w:spacing w:after="0" w:line="259" w:lineRule="auto"/>
              <w:ind w:left="110" w:right="0" w:firstLine="0"/>
              <w:jc w:val="left"/>
            </w:pPr>
            <w:proofErr w:type="spellStart"/>
            <w:r w:rsidRPr="00124F58">
              <w:rPr>
                <w:highlight w:val="black"/>
              </w:rPr>
              <w:t>xxxxxxxxxxxxxxxxx</w:t>
            </w:r>
            <w:proofErr w:type="spellEnd"/>
          </w:p>
        </w:tc>
      </w:tr>
    </w:tbl>
    <w:p w:rsidR="00673F86" w:rsidRDefault="005D44CA">
      <w:pPr>
        <w:spacing w:after="342" w:line="259" w:lineRule="auto"/>
        <w:ind w:left="365" w:right="0" w:hanging="10"/>
        <w:jc w:val="left"/>
      </w:pPr>
      <w:r>
        <w:rPr>
          <w:sz w:val="26"/>
        </w:rPr>
        <w:t>(dále jen „Zhotovitel”)</w:t>
      </w:r>
    </w:p>
    <w:p w:rsidR="00673F86" w:rsidRDefault="005D44CA">
      <w:pPr>
        <w:spacing w:after="364" w:line="265" w:lineRule="auto"/>
        <w:ind w:left="350" w:right="0" w:hanging="10"/>
        <w:jc w:val="left"/>
      </w:pPr>
      <w:r>
        <w:t>na straně druhé</w:t>
      </w:r>
    </w:p>
    <w:p w:rsidR="00673F86" w:rsidRDefault="005D44CA">
      <w:pPr>
        <w:spacing w:after="364" w:line="265" w:lineRule="auto"/>
        <w:ind w:left="350" w:right="0" w:hanging="10"/>
        <w:jc w:val="left"/>
      </w:pPr>
      <w:r>
        <w:t>(Objednatel a Zhotovitel společně dále též jen „Smluvní strany”, případně „Smluvní strana”, je-li odkazováno na kteréhokoliv z nich).</w:t>
      </w:r>
    </w:p>
    <w:p w:rsidR="00673F86" w:rsidRDefault="005D44CA">
      <w:pPr>
        <w:spacing w:after="86"/>
      </w:pPr>
      <w:r>
        <w:t>Tato smlouva o dílo (dále jen „Smlouva o dílo”) je uzavřena podle ustanovení Š 2586 a násl. zákona č. 89/2012 Sb., občansk</w:t>
      </w:r>
      <w:r>
        <w:t xml:space="preserve">ého zákoníku (dále jen „Občanský zákoník”) na základě výsledků </w:t>
      </w:r>
      <w:r>
        <w:lastRenderedPageBreak/>
        <w:t xml:space="preserve">poptávkového řízení na veřejnou zakázku malého rozsahu na stavební práce Oprava </w:t>
      </w:r>
      <w:proofErr w:type="spellStart"/>
      <w:r>
        <w:t>oplocenípachové</w:t>
      </w:r>
      <w:proofErr w:type="spellEnd"/>
      <w:r>
        <w:t xml:space="preserve"> ohradníky 2016, realizovanou mimo zadávací řízení v souladu s Š 18 odst. 5 ve spojení s Š 12 odst</w:t>
      </w:r>
      <w:r>
        <w:t>. 3 Zákona o veřejných zakázkách zahájeném písemnou výzvou Objednatele. (dále jen „Zakázka”).</w:t>
      </w:r>
    </w:p>
    <w:p w:rsidR="00673F86" w:rsidRDefault="005D44CA">
      <w:pPr>
        <w:spacing w:after="0" w:line="259" w:lineRule="auto"/>
        <w:ind w:left="1465" w:right="1186" w:hanging="10"/>
        <w:jc w:val="center"/>
      </w:pPr>
      <w:r>
        <w:rPr>
          <w:sz w:val="26"/>
        </w:rPr>
        <w:t>1.</w:t>
      </w:r>
    </w:p>
    <w:p w:rsidR="00673F86" w:rsidRDefault="005D44CA">
      <w:pPr>
        <w:spacing w:after="0" w:line="259" w:lineRule="auto"/>
        <w:ind w:left="1465" w:right="1037" w:hanging="10"/>
        <w:jc w:val="center"/>
      </w:pPr>
      <w:r>
        <w:rPr>
          <w:sz w:val="26"/>
        </w:rPr>
        <w:t>Předmět díla</w:t>
      </w:r>
    </w:p>
    <w:p w:rsidR="00673F86" w:rsidRDefault="005D44CA">
      <w:pPr>
        <w:spacing w:after="0"/>
        <w:ind w:left="638" w:right="4"/>
      </w:pPr>
      <w:r>
        <w:t xml:space="preserve">1.1. Předmětem díla je zhotovení oprava </w:t>
      </w:r>
      <w:proofErr w:type="spellStart"/>
      <w:r>
        <w:t>oplocení-pachové</w:t>
      </w:r>
      <w:proofErr w:type="spellEnd"/>
      <w:r>
        <w:t xml:space="preserve"> ohradníky 2016, dle </w:t>
      </w:r>
      <w:proofErr w:type="gramStart"/>
      <w:r>
        <w:t>výkaz</w:t>
      </w:r>
      <w:proofErr w:type="gramEnd"/>
      <w:r>
        <w:t xml:space="preserve"> výměr, který je nedílnou součástí smlouvy.</w:t>
      </w:r>
    </w:p>
    <w:p w:rsidR="00673F86" w:rsidRDefault="005D44CA">
      <w:pPr>
        <w:spacing w:after="249"/>
        <w:ind w:left="667" w:right="4"/>
      </w:pPr>
      <w:r>
        <w:t>Objednatel se zavazuje k převzetí díla a k zaplacení smluvní ceny za podmínek dále uvedených.</w:t>
      </w:r>
    </w:p>
    <w:p w:rsidR="00673F86" w:rsidRDefault="005D44CA">
      <w:pPr>
        <w:ind w:left="686" w:right="4"/>
      </w:pPr>
      <w:r>
        <w:t>1.2. Veškerý vybouraný materiál je odpadem.</w:t>
      </w:r>
    </w:p>
    <w:p w:rsidR="00673F86" w:rsidRDefault="005D44CA">
      <w:pPr>
        <w:spacing w:after="0" w:line="259" w:lineRule="auto"/>
        <w:ind w:left="466" w:right="283" w:hanging="10"/>
        <w:jc w:val="center"/>
      </w:pPr>
      <w:r>
        <w:rPr>
          <w:sz w:val="22"/>
        </w:rPr>
        <w:t>11.</w:t>
      </w:r>
    </w:p>
    <w:p w:rsidR="00673F86" w:rsidRDefault="005D44CA">
      <w:pPr>
        <w:spacing w:after="0" w:line="259" w:lineRule="auto"/>
        <w:ind w:left="1465" w:right="1027" w:hanging="10"/>
        <w:jc w:val="center"/>
      </w:pPr>
      <w:r>
        <w:rPr>
          <w:sz w:val="26"/>
        </w:rPr>
        <w:t>Doba plnění, termíny a způsob odevzdání</w:t>
      </w:r>
    </w:p>
    <w:p w:rsidR="00673F86" w:rsidRDefault="005D44CA">
      <w:pPr>
        <w:ind w:left="658" w:right="4"/>
      </w:pPr>
      <w:r>
        <w:t xml:space="preserve">2.1. Termín ukončení díla a předání díla </w:t>
      </w:r>
      <w:proofErr w:type="gramStart"/>
      <w:r>
        <w:t>je</w:t>
      </w:r>
      <w:proofErr w:type="gramEnd"/>
      <w:r>
        <w:t xml:space="preserve"> 31.7.2019 0 předání resp. přev</w:t>
      </w:r>
      <w:r>
        <w:t>zetí díla bude sepsán předávací protokol potvrzený oběma smluvními stranami.</w:t>
      </w:r>
    </w:p>
    <w:p w:rsidR="00673F86" w:rsidRDefault="005D44CA">
      <w:pPr>
        <w:ind w:left="638" w:right="240"/>
      </w:pPr>
      <w:r>
        <w:t xml:space="preserve">2.2. Pokud bude zhotovitel v prodlení s dodáním díla podle odst. </w:t>
      </w:r>
      <w:proofErr w:type="gramStart"/>
      <w:r>
        <w:t>2.1. tohoto</w:t>
      </w:r>
      <w:proofErr w:type="gramEnd"/>
      <w:r>
        <w:t xml:space="preserve"> článku, je povinen zaplatit objednateli smluvní pokutu ve výši 0,05% z ceny nepředané části díla za ka</w:t>
      </w:r>
      <w:r>
        <w:t>ždý den prodlení. Zhotovitel je povinen zaplatit objednateli, bez ohledu na zaplacení smluvní pokuty, škodu, již objednateli způsobil.</w:t>
      </w:r>
    </w:p>
    <w:p w:rsidR="00673F86" w:rsidRDefault="005D44CA">
      <w:pPr>
        <w:spacing w:after="512"/>
        <w:ind w:left="658"/>
      </w:pPr>
      <w:r>
        <w:t xml:space="preserve">2.3. Je-li součástí díla i převáděný majetek, dodavatel provede na své náklady v okamžiku předání díla zatřídění, </w:t>
      </w:r>
      <w:proofErr w:type="spellStart"/>
      <w:r>
        <w:t>naceněn</w:t>
      </w:r>
      <w:r>
        <w:t>í</w:t>
      </w:r>
      <w:proofErr w:type="spellEnd"/>
      <w:r>
        <w:t xml:space="preserve"> a označení jedinečným číselným identifikátorem (zatříděný) předávaný majetek. Tento majetek je předán formou inventury za účasti zástupce objednatele. Pokud není předávané dílo plně dofinancováno a tedy není možné určit konečnou cenu majetku, </w:t>
      </w:r>
      <w:proofErr w:type="spellStart"/>
      <w:r>
        <w:t>nacení</w:t>
      </w:r>
      <w:proofErr w:type="spellEnd"/>
      <w:r>
        <w:t xml:space="preserve"> se m</w:t>
      </w:r>
      <w:r>
        <w:t xml:space="preserve">ajetek až po úplném dofinancování díla. Dofinancování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jednotlivého zatříděného majetku je rozdělena na cenu základ, valorizace (či jiná částk</w:t>
      </w:r>
      <w:r>
        <w:t>a ovlivňující cenu základ) a DPH. Zatřídění majetku je prováděno dle platné klasifikace Českého statistického úřadu.</w:t>
      </w:r>
    </w:p>
    <w:p w:rsidR="00673F86" w:rsidRDefault="005D44CA">
      <w:pPr>
        <w:spacing w:after="0" w:line="259" w:lineRule="auto"/>
        <w:ind w:left="466" w:right="0" w:hanging="10"/>
        <w:jc w:val="center"/>
      </w:pPr>
      <w:r>
        <w:rPr>
          <w:sz w:val="22"/>
        </w:rPr>
        <w:t>111.</w:t>
      </w:r>
    </w:p>
    <w:p w:rsidR="00673F86" w:rsidRDefault="005D44CA">
      <w:pPr>
        <w:spacing w:after="0" w:line="259" w:lineRule="auto"/>
        <w:ind w:left="1465" w:right="1037" w:hanging="10"/>
        <w:jc w:val="center"/>
      </w:pPr>
      <w:r>
        <w:rPr>
          <w:sz w:val="26"/>
        </w:rPr>
        <w:t>Cena</w:t>
      </w:r>
    </w:p>
    <w:p w:rsidR="00673F86" w:rsidRDefault="005D44CA">
      <w:pPr>
        <w:spacing w:after="17"/>
        <w:ind w:left="667" w:right="4"/>
      </w:pPr>
      <w:r>
        <w:t>3.1. Cena za plnění dle článku II. této smlouvy je stanovena takto:</w:t>
      </w:r>
    </w:p>
    <w:p w:rsidR="00673F86" w:rsidRDefault="005D44CA">
      <w:pPr>
        <w:spacing w:after="10"/>
        <w:ind w:left="1027" w:right="4"/>
      </w:pPr>
      <w:r>
        <w:t xml:space="preserve">Cena celkem bez DPH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81466" cy="15241"/>
                <wp:effectExtent l="0" t="0" r="0" b="0"/>
                <wp:docPr id="22312" name="Group 2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466" cy="15241"/>
                          <a:chOff x="0" y="0"/>
                          <a:chExt cx="1981466" cy="15241"/>
                        </a:xfrm>
                      </wpg:grpSpPr>
                      <wps:wsp>
                        <wps:cNvPr id="22311" name="Shape 22311"/>
                        <wps:cNvSpPr/>
                        <wps:spPr>
                          <a:xfrm>
                            <a:off x="0" y="0"/>
                            <a:ext cx="198146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66" h="15241">
                                <a:moveTo>
                                  <a:pt x="0" y="7620"/>
                                </a:moveTo>
                                <a:lnTo>
                                  <a:pt x="198146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12" style="width:156.021pt;height:1.20007pt;mso-position-horizontal-relative:char;mso-position-vertical-relative:line" coordsize="19814,152">
                <v:shape id="Shape 22311" style="position:absolute;width:19814;height:152;left:0;top:0;" coordsize="1981466,15241" path="m0,7620l1981466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1 505 000,- Kč,</w:t>
      </w:r>
    </w:p>
    <w:p w:rsidR="00673F86" w:rsidRDefault="005D44CA">
      <w:pPr>
        <w:spacing w:after="10"/>
        <w:ind w:left="1023" w:right="4"/>
      </w:pPr>
      <w:r>
        <w:t xml:space="preserve">DPH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06927" cy="15242"/>
                <wp:effectExtent l="0" t="0" r="0" b="0"/>
                <wp:docPr id="22314" name="Group 2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927" cy="15242"/>
                          <a:chOff x="0" y="0"/>
                          <a:chExt cx="3206927" cy="15242"/>
                        </a:xfrm>
                      </wpg:grpSpPr>
                      <wps:wsp>
                        <wps:cNvPr id="22313" name="Shape 22313"/>
                        <wps:cNvSpPr/>
                        <wps:spPr>
                          <a:xfrm>
                            <a:off x="0" y="0"/>
                            <a:ext cx="3206927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927" h="15242">
                                <a:moveTo>
                                  <a:pt x="0" y="7621"/>
                                </a:moveTo>
                                <a:lnTo>
                                  <a:pt x="3206927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14" style="width:252.514pt;height:1.20013pt;mso-position-horizontal-relative:char;mso-position-vertical-relative:line" coordsize="32069,152">
                <v:shape id="Shape 22313" style="position:absolute;width:32069;height:152;left:0;top:0;" coordsize="3206927,15242" path="m0,7621l3206927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316 050,- Kč,</w:t>
      </w:r>
    </w:p>
    <w:p w:rsidR="00673F86" w:rsidRDefault="005D44CA">
      <w:pPr>
        <w:spacing w:after="228" w:line="265" w:lineRule="auto"/>
        <w:ind w:left="3504" w:right="0" w:hanging="2477"/>
        <w:jc w:val="left"/>
      </w:pPr>
      <w:r>
        <w:rPr>
          <w:sz w:val="26"/>
        </w:rPr>
        <w:t>Cena celkem včetně DPH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92464" cy="15241"/>
                <wp:effectExtent l="0" t="0" r="0" b="0"/>
                <wp:docPr id="22316" name="Group 2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464" cy="15241"/>
                          <a:chOff x="0" y="0"/>
                          <a:chExt cx="1792464" cy="15241"/>
                        </a:xfrm>
                      </wpg:grpSpPr>
                      <wps:wsp>
                        <wps:cNvPr id="22315" name="Shape 22315"/>
                        <wps:cNvSpPr/>
                        <wps:spPr>
                          <a:xfrm>
                            <a:off x="0" y="0"/>
                            <a:ext cx="1792464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64" h="15241">
                                <a:moveTo>
                                  <a:pt x="0" y="7620"/>
                                </a:moveTo>
                                <a:lnTo>
                                  <a:pt x="1792464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16" style="width:141.139pt;height:1.20007pt;mso-position-horizontal-relative:char;mso-position-vertical-relative:line" coordsize="17924,152">
                <v:shape id="Shape 22315" style="position:absolute;width:17924;height:152;left:0;top:0;" coordsize="1792464,15241" path="m0,7620l1792464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 1 821 050,- Kč, </w:t>
      </w:r>
      <w:proofErr w:type="spellStart"/>
      <w:r>
        <w:rPr>
          <w:sz w:val="26"/>
        </w:rPr>
        <w:t>slovy:MilionosmsetdvacetjedentisícpadesátKč</w:t>
      </w:r>
      <w:proofErr w:type="spellEnd"/>
    </w:p>
    <w:p w:rsidR="00673F86" w:rsidRDefault="005D44CA">
      <w:pPr>
        <w:ind w:right="254"/>
      </w:pPr>
      <w:r>
        <w:t>3.2. Cena bude hrazena na základě faktur — daňových dokladů vystavených zhotovitelem do 7 dnů po předání díla objednateli na základě předávacích protokolů. Splatnost faktur</w:t>
      </w:r>
      <w:r>
        <w:t xml:space="preserve"> bude 30 dní od prokázaného doručení faktury objednateli na kontaktní adresu dle čl. 4.1. Fakturace je možná dílčí dle převzetí dílčího plnění.</w:t>
      </w:r>
    </w:p>
    <w:p w:rsidR="00673F86" w:rsidRDefault="005D44CA">
      <w:pPr>
        <w:spacing w:after="0" w:line="259" w:lineRule="auto"/>
        <w:ind w:left="1465" w:right="2179" w:hanging="10"/>
        <w:jc w:val="center"/>
      </w:pPr>
      <w:r>
        <w:rPr>
          <w:sz w:val="26"/>
        </w:rPr>
        <w:t>Platební podmínky a způsob fakturace</w:t>
      </w:r>
    </w:p>
    <w:p w:rsidR="00673F86" w:rsidRDefault="005D44CA">
      <w:pPr>
        <w:spacing w:after="42"/>
        <w:ind w:left="129" w:right="807"/>
      </w:pPr>
      <w:r>
        <w:t>4.1. Faktury musí obsahovat náležitosti daňového dokladu dle ustanovení Š 2</w:t>
      </w:r>
      <w:r>
        <w:t>8, zák. č. 235/2004 Sb., o dani z přidané hodnoty v platném znění. Faktura musí obsahovat číslo smlouvy, název veřejné zakázky a ISPROFIN. Platba bude provedena na číslo účtu zhotovitele uvedené v záhlaví této smlouvy. Záloha se neposkytuje.</w:t>
      </w:r>
    </w:p>
    <w:p w:rsidR="00673F86" w:rsidRDefault="005D44CA">
      <w:pPr>
        <w:spacing w:after="42"/>
        <w:ind w:left="67" w:right="4"/>
      </w:pPr>
      <w:r>
        <w:lastRenderedPageBreak/>
        <w:t>Na faktuře bud</w:t>
      </w:r>
      <w:r>
        <w:t>e jako objednatel uvedeno:</w:t>
      </w:r>
    </w:p>
    <w:p w:rsidR="00673F86" w:rsidRDefault="005D44CA">
      <w:pPr>
        <w:spacing w:after="45"/>
        <w:ind w:left="484" w:right="2194" w:hanging="355"/>
      </w:pPr>
      <w:r>
        <w:rPr>
          <w:u w:val="single" w:color="000000"/>
        </w:rPr>
        <w:t>Ředitelství silnic a dálnic ČR,</w:t>
      </w:r>
      <w:r>
        <w:t xml:space="preserve"> Na Pankráci 546/56, 140 00 Praha 4 — Nusle zastoupené — kontaktní adresa:</w:t>
      </w:r>
    </w:p>
    <w:p w:rsidR="00673F86" w:rsidRDefault="005D44CA">
      <w:pPr>
        <w:spacing w:after="228" w:line="265" w:lineRule="auto"/>
        <w:ind w:left="375" w:right="0" w:hanging="10"/>
        <w:jc w:val="left"/>
      </w:pPr>
      <w:r>
        <w:rPr>
          <w:sz w:val="26"/>
        </w:rPr>
        <w:t xml:space="preserve">ŘSD ČR, </w:t>
      </w:r>
      <w:proofErr w:type="spellStart"/>
      <w:r>
        <w:rPr>
          <w:sz w:val="26"/>
        </w:rPr>
        <w:t>ssÚD</w:t>
      </w:r>
      <w:proofErr w:type="spellEnd"/>
      <w:r>
        <w:rPr>
          <w:sz w:val="26"/>
        </w:rPr>
        <w:t xml:space="preserve"> 7 Podivín, Bratislavská 867,691 45 Podivín</w:t>
      </w:r>
    </w:p>
    <w:p w:rsidR="00673F86" w:rsidRDefault="005D44CA">
      <w:pPr>
        <w:spacing w:after="294"/>
        <w:ind w:left="62" w:right="816"/>
      </w:pPr>
      <w:r>
        <w:t>Fakturu, která neobsahuje uvedené náležitosti nebo jsou-li uvedeny nesprávně či neúplně, je objednatel oprávněn vrátit zhotoviteli. Při nezaplacení takto vystavené a doručené faktury není objednatel v prodlení se zaplacením. Po doručení řádně vystavené fak</w:t>
      </w:r>
      <w:r>
        <w:t>tury běží znovu sjednaná doba splatnosti.</w:t>
      </w:r>
    </w:p>
    <w:p w:rsidR="00673F86" w:rsidRDefault="005D44CA">
      <w:pPr>
        <w:spacing w:after="303"/>
        <w:ind w:left="53" w:right="826"/>
      </w:pPr>
      <w:r>
        <w:t xml:space="preserve">4.2. Faktura se považuje za </w:t>
      </w:r>
      <w:proofErr w:type="spellStart"/>
      <w:r>
        <w:t>uhrazěnou</w:t>
      </w:r>
      <w:proofErr w:type="spellEnd"/>
      <w:r>
        <w:t xml:space="preserve"> okamžikem odepsání fakturované částky z účtu objednatele. Námitky proti údajům uvedeným ve faktuře může objednatel uplatnit do konce doby splatnosti s tím, že ji odešle zhotovi</w:t>
      </w:r>
      <w:r>
        <w:t>teli s uvedením výhrad. Tímto okamžikem se ruší doba splatnosti. Od okamžiku doručení opravené faktury objednateli běží nová doba splatnosti v původní nezměněné délce.</w:t>
      </w:r>
    </w:p>
    <w:p w:rsidR="00673F86" w:rsidRDefault="005D44CA">
      <w:pPr>
        <w:ind w:left="43" w:right="394"/>
      </w:pPr>
      <w:r>
        <w:t>4.3. V případě, že objednatel bude v prodlení s placením faktury, je povinen zaplatit zhotoviteli úrok z prodlení ve výši 0,05% z dlužné částky za každý den z prodlení.</w:t>
      </w:r>
    </w:p>
    <w:p w:rsidR="00673F86" w:rsidRDefault="005D44CA">
      <w:pPr>
        <w:spacing w:after="10"/>
        <w:ind w:left="43" w:right="4"/>
      </w:pPr>
      <w:r>
        <w:t>4.4. Zboží, doklady a fakturu dodejte na adresu:</w:t>
      </w:r>
    </w:p>
    <w:p w:rsidR="00673F86" w:rsidRDefault="005D44CA">
      <w:pPr>
        <w:spacing w:after="313"/>
        <w:ind w:left="43" w:right="4"/>
      </w:pPr>
      <w:r>
        <w:t xml:space="preserve">ŘSD ČR, </w:t>
      </w:r>
      <w:proofErr w:type="spellStart"/>
      <w:r>
        <w:t>ssCJD</w:t>
      </w:r>
      <w:proofErr w:type="spellEnd"/>
      <w:r>
        <w:t xml:space="preserve"> 7 Podivín, Bratislavská </w:t>
      </w:r>
      <w:r>
        <w:t>867,691 45 Podivín</w:t>
      </w:r>
    </w:p>
    <w:p w:rsidR="00673F86" w:rsidRDefault="005D44CA">
      <w:pPr>
        <w:spacing w:after="568"/>
        <w:ind w:left="34" w:right="855"/>
      </w:pPr>
      <w:proofErr w:type="gramStart"/>
      <w:r>
        <w:t>4.5. ŘSD</w:t>
      </w:r>
      <w:proofErr w:type="gramEnd"/>
      <w:r>
        <w:t xml:space="preserve"> ČR u poskytnutých stavebních nebo montážních prací uvedených v číselníku Klasifikace produkce CZ-CPA kód 41 až 43 není plátce DPH, tedy se na něj nevztahuje režim přenesené daňové povinnosti. Daňové doklady musí být vystaveny vč</w:t>
      </w:r>
      <w:r>
        <w:t>etně DPH.</w:t>
      </w:r>
    </w:p>
    <w:p w:rsidR="00673F86" w:rsidRDefault="005D44CA">
      <w:pPr>
        <w:spacing w:after="0" w:line="259" w:lineRule="auto"/>
        <w:ind w:left="1465" w:right="1738" w:hanging="10"/>
        <w:jc w:val="center"/>
      </w:pPr>
      <w:r>
        <w:rPr>
          <w:sz w:val="26"/>
        </w:rPr>
        <w:t>Záruka za dílo</w:t>
      </w:r>
    </w:p>
    <w:p w:rsidR="00673F86" w:rsidRDefault="005D44CA">
      <w:pPr>
        <w:ind w:left="38" w:right="4"/>
      </w:pPr>
      <w:r>
        <w:t>5.1. Zhotovitel poskytuje záruku za dílo v souladu s platnými právními předpisy.</w:t>
      </w:r>
    </w:p>
    <w:p w:rsidR="00673F86" w:rsidRDefault="005D44CA">
      <w:pPr>
        <w:ind w:left="24" w:right="859"/>
      </w:pPr>
      <w:r>
        <w:t>5.2. Objednatel je oprávněn reklamovat vady díla po dobu trvání záruční doby. Reklamace musí být řádně doloženy a musí mít písemnou formu. O každé rek</w:t>
      </w:r>
      <w:r>
        <w:t>lamaci bude zhotovitelem sepsán reklamační protokol, obsahující odkaz na reklamovanou závadu, dobu nahlášení závady, návrh způsobu odstranění závady, záznam o provedené opravě a akceptaci opravy objednatelem.</w:t>
      </w:r>
    </w:p>
    <w:p w:rsidR="00673F86" w:rsidRDefault="005D44CA">
      <w:pPr>
        <w:spacing w:after="533"/>
        <w:ind w:left="24" w:right="4"/>
      </w:pPr>
      <w:r>
        <w:t>5.3. Oprávněně reklamované vady díla zhotovitel</w:t>
      </w:r>
      <w:r>
        <w:t xml:space="preserve"> odstraní bez zbytečného odkladu a bezplatně.</w:t>
      </w:r>
    </w:p>
    <w:p w:rsidR="00673F86" w:rsidRDefault="005D44CA">
      <w:pPr>
        <w:spacing w:after="0" w:line="259" w:lineRule="auto"/>
        <w:ind w:left="1465" w:right="1762" w:hanging="10"/>
        <w:jc w:val="center"/>
      </w:pPr>
      <w:r>
        <w:rPr>
          <w:sz w:val="26"/>
        </w:rPr>
        <w:t>Práva a povinnosti objednatele</w:t>
      </w:r>
    </w:p>
    <w:p w:rsidR="00673F86" w:rsidRDefault="005D44CA">
      <w:pPr>
        <w:ind w:left="14" w:right="4"/>
      </w:pPr>
      <w:r>
        <w:t>6.1. Objednatel je oprávněn provádět průběžné kontroly plnění díla.</w:t>
      </w:r>
    </w:p>
    <w:p w:rsidR="00673F86" w:rsidRDefault="005D44CA">
      <w:pPr>
        <w:ind w:left="14" w:right="4"/>
      </w:pPr>
      <w:r>
        <w:t>6.2. Dopravní značení pracoviště bude zajišťovat objednatel.</w:t>
      </w:r>
    </w:p>
    <w:p w:rsidR="00673F86" w:rsidRDefault="005D44CA">
      <w:pPr>
        <w:spacing w:after="0" w:line="259" w:lineRule="auto"/>
        <w:ind w:left="1465" w:right="0" w:hanging="10"/>
        <w:jc w:val="center"/>
      </w:pPr>
      <w:r>
        <w:rPr>
          <w:sz w:val="26"/>
        </w:rPr>
        <w:t>VII.</w:t>
      </w:r>
    </w:p>
    <w:p w:rsidR="00673F86" w:rsidRDefault="005D44CA">
      <w:pPr>
        <w:spacing w:after="0" w:line="259" w:lineRule="auto"/>
        <w:ind w:left="1465" w:right="0" w:hanging="10"/>
        <w:jc w:val="center"/>
      </w:pPr>
      <w:r>
        <w:rPr>
          <w:sz w:val="26"/>
        </w:rPr>
        <w:t>Práva a povinnosti zhotovitele</w:t>
      </w:r>
    </w:p>
    <w:p w:rsidR="00673F86" w:rsidRDefault="005D44CA">
      <w:pPr>
        <w:ind w:left="912" w:right="4"/>
      </w:pPr>
      <w:r>
        <w:t xml:space="preserve">7.1. Zhotovitel se zavazuje prostudovat připomínky a upozornění objednatele, týkající se průběhu a způsobu plnění smluvních povinností zhotovitele, a v případě jejich opodstatněnosti bez zbytečného odkladu vyvodit odpovídající závěry a přijmout opatření k </w:t>
      </w:r>
      <w:r>
        <w:t>odstranění nedostatků v plnění smlouvy. O těchto opatřeních bude informovat objednatele.</w:t>
      </w:r>
    </w:p>
    <w:p w:rsidR="00673F86" w:rsidRDefault="005D44CA">
      <w:pPr>
        <w:ind w:left="898" w:right="4"/>
      </w:pPr>
      <w:r>
        <w:lastRenderedPageBreak/>
        <w:t>7.2. Zhotovitel je povinen před zahájením prací předložit doklad o platném školení BOZP podle Š 8 Směrnice GŘ č. 4/2007, zpracovaná bezpečnostní rizika dle Š 101 odst.</w:t>
      </w:r>
      <w:r>
        <w:t xml:space="preserve"> 3) Zákoníku práce v platném znění a vstup na dálnici hlásit zástupci objednatele. Zhotovitel je povinen dodržovat veškeré platné technické a právní předpisy, týkající se zajištění bezpečnosti a ochrany zdraví při práci a bezpečnosti technických zařízení z</w:t>
      </w:r>
      <w:r>
        <w:t>ejména nařízení vlády č. 591/2006 Sb. a Směrnici GR ŘSD ČR č. 4/2007 Pravidla bezpečnosti práce na dálnicích a silnicích. Zhotovitel se zavazuje vysílat k provádění prací zaměstnance odborně a zdravotně způsobilé a řádně proškolené v předpisech bezpečnosti</w:t>
      </w:r>
      <w:r>
        <w:t xml:space="preserve"> a ochrany zdraví při práci. V případě pracovního úrazu zaměstnance zhotovitele vyšetří a sepíše záznam o pracovním úrazu vedoucí zaměstnanec zhotovitele ve spolupráci s vedoucím zaměstnancem objednatele a zhotovitel následně splní veškeré povinnosti v </w:t>
      </w:r>
      <w:proofErr w:type="gramStart"/>
      <w:r>
        <w:t>sou</w:t>
      </w:r>
      <w:r>
        <w:t>ladu s 105</w:t>
      </w:r>
      <w:proofErr w:type="gramEnd"/>
      <w:r>
        <w:t xml:space="preserve"> Zákoníku práce v platném znění a nařízením vlády č. 201/2010 Sb. Zhotovitel se zavazuje zajistit vlastní dozor nad bezpečností práce a soustavnou kontrolu na pracovištích. Zástupce zhotovitele předá při převzetí pracoviště písemné jmenování těch</w:t>
      </w:r>
      <w:r>
        <w:t>to osob.</w:t>
      </w:r>
    </w:p>
    <w:p w:rsidR="00673F86" w:rsidRDefault="005D44CA">
      <w:pPr>
        <w:ind w:left="907" w:right="4"/>
      </w:pPr>
      <w:r>
        <w:t>7.3. Zhotovitel nebude bez písemného souhlasu používat zařízení objednatele.</w:t>
      </w:r>
    </w:p>
    <w:p w:rsidR="00673F86" w:rsidRDefault="005D44CA">
      <w:pPr>
        <w:ind w:left="893" w:right="4"/>
      </w:pPr>
      <w:r>
        <w:t xml:space="preserve">7.4. Zhotovitel podle Š 2936 až 2938 Občanského zákoníku odpovídá i za škodu způsobenou vadou věci, a této odpovědnosti se nemůže zbavit. Zhotovitel se zavazuje používat </w:t>
      </w:r>
      <w:r>
        <w:t>stroje a zařízení, která svým konstrukčním provedením a na základě výsledků kontrol a revizí jsou schopna bezpečného provozu.</w:t>
      </w:r>
    </w:p>
    <w:p w:rsidR="00673F86" w:rsidRDefault="005D44CA">
      <w:pPr>
        <w:ind w:left="898" w:right="4"/>
      </w:pPr>
      <w:r>
        <w:t>7.5. Porušování předpisů bezpečnosti práce a technických zařízení a bezpečnosti provozu na dálnicích a silnicích se považuje za ne</w:t>
      </w:r>
      <w:r>
        <w:t>plnění povinností zhotovitele podle smlouvy o dílo.</w:t>
      </w:r>
    </w:p>
    <w:p w:rsidR="00673F86" w:rsidRDefault="005D44CA">
      <w:pPr>
        <w:spacing w:after="533"/>
        <w:ind w:left="893" w:right="4"/>
      </w:pPr>
      <w:r>
        <w:t>7.6. V případě, že se jedná o stavbu podléhající režimu zákona č. 309/2006 Sb. z hlediska ohlášení zahájení prací oblastnímu inspektorátu práce, ustavení funkce koordinátora BOZP a zpracování plánu zajišt</w:t>
      </w:r>
      <w:r>
        <w:t>ění BOZ, je zhotovitel povinen plnit úkoly uvedené v Š 16 uvedeného zákona.</w:t>
      </w:r>
    </w:p>
    <w:p w:rsidR="00673F86" w:rsidRDefault="005D44CA">
      <w:pPr>
        <w:spacing w:after="0" w:line="259" w:lineRule="auto"/>
        <w:ind w:left="1465" w:right="34" w:hanging="10"/>
        <w:jc w:val="center"/>
      </w:pPr>
      <w:r>
        <w:rPr>
          <w:sz w:val="26"/>
        </w:rPr>
        <w:t>VIII.</w:t>
      </w:r>
    </w:p>
    <w:p w:rsidR="00673F86" w:rsidRDefault="005D44CA">
      <w:pPr>
        <w:spacing w:after="0" w:line="259" w:lineRule="auto"/>
        <w:ind w:left="1465" w:right="10" w:hanging="10"/>
        <w:jc w:val="center"/>
      </w:pPr>
      <w:r>
        <w:rPr>
          <w:sz w:val="26"/>
        </w:rPr>
        <w:t>Ostatní ujednání</w:t>
      </w:r>
    </w:p>
    <w:p w:rsidR="00673F86" w:rsidRDefault="005D44CA">
      <w:pPr>
        <w:spacing w:after="547"/>
        <w:ind w:left="893" w:right="4"/>
      </w:pPr>
      <w:r>
        <w:t>8.1. Dojde-li k odstoupení od smlouvy objednatelem, bude zhotovitel účtovat objednateli objednatelem převzaté práce ke dni odstoupení. V případě odstoupení o</w:t>
      </w:r>
      <w:r>
        <w:t>d Smlouvy o dílo Smlouva o dílo zaniká dnem doručení písemného odstoupení druhé Smluvní straně. Smluvní strany výslovně vylučují aplikaci ustanovení Š 2004 Občanského zákoníku.</w:t>
      </w:r>
    </w:p>
    <w:p w:rsidR="00673F86" w:rsidRDefault="005D44CA">
      <w:pPr>
        <w:ind w:left="893" w:right="4"/>
      </w:pPr>
      <w:r>
        <w:t>8.2. V případě, že od smlouvy odstoupí zhotovitel, je povinen uhradit objednateli veškerou škodu, která by mu odstoupením od smlouvy vznikla.</w:t>
      </w:r>
    </w:p>
    <w:p w:rsidR="00673F86" w:rsidRDefault="005D44CA">
      <w:pPr>
        <w:spacing w:after="0" w:line="259" w:lineRule="auto"/>
        <w:ind w:left="1465" w:right="1546" w:hanging="10"/>
        <w:jc w:val="center"/>
      </w:pPr>
      <w:r>
        <w:rPr>
          <w:sz w:val="26"/>
        </w:rPr>
        <w:t>IX.</w:t>
      </w:r>
    </w:p>
    <w:p w:rsidR="00673F86" w:rsidRDefault="005D44CA">
      <w:pPr>
        <w:spacing w:after="222" w:line="259" w:lineRule="auto"/>
        <w:ind w:left="1465" w:right="1536" w:hanging="10"/>
        <w:jc w:val="center"/>
      </w:pPr>
      <w:r>
        <w:rPr>
          <w:sz w:val="26"/>
        </w:rPr>
        <w:t>Závěrečná ustanovení</w:t>
      </w:r>
    </w:p>
    <w:p w:rsidR="00673F86" w:rsidRDefault="005D44CA">
      <w:pPr>
        <w:ind w:left="129" w:right="4"/>
      </w:pPr>
      <w:r>
        <w:t>9.1. Smluvní strany pro vyloučení pochybností výslovně vylučují aplikaci ustanovení Š 260</w:t>
      </w:r>
      <w:r>
        <w:t>9 Občanského zákoníku.</w:t>
      </w:r>
    </w:p>
    <w:p w:rsidR="00673F86" w:rsidRDefault="005D44CA">
      <w:pPr>
        <w:spacing w:after="315"/>
        <w:ind w:left="129" w:right="4"/>
      </w:pPr>
      <w:r>
        <w:t>9.2 Jakékoliv změny, nebo doplňky budou řešeny písemně, formou číslovaných dodatků odsouhlasenými oběma smluvními stranami.</w:t>
      </w:r>
    </w:p>
    <w:p w:rsidR="00673F86" w:rsidRDefault="005D44CA">
      <w:pPr>
        <w:ind w:left="129" w:right="4"/>
      </w:pPr>
      <w:r>
        <w:lastRenderedPageBreak/>
        <w:t xml:space="preserve">9.3. </w:t>
      </w:r>
      <w:proofErr w:type="gramStart"/>
      <w:r>
        <w:t>Smlouvaje</w:t>
      </w:r>
      <w:proofErr w:type="gramEnd"/>
      <w:r>
        <w:t xml:space="preserve"> vyhotovena ve čtyřech stejnopisech, z nichž každá strana obdrží po dvou z nich.</w:t>
      </w:r>
    </w:p>
    <w:p w:rsidR="00673F86" w:rsidRDefault="005D44CA">
      <w:pPr>
        <w:spacing w:after="577"/>
        <w:ind w:left="129" w:right="4"/>
      </w:pPr>
      <w:r>
        <w:t>9.4. Záležitos</w:t>
      </w:r>
      <w:r>
        <w:t>ti v této smlouvě výslovně neupravené se řídí příslušnými ustanoveními občanského zákoníku v platném znění.</w:t>
      </w:r>
    </w:p>
    <w:p w:rsidR="00673F86" w:rsidRDefault="005D44CA">
      <w:pPr>
        <w:spacing w:after="544"/>
        <w:ind w:left="129" w:right="4"/>
      </w:pPr>
      <w:r>
        <w:t>NA DŮKAZ SVÉHO SOUHLASU S OBSAHEM TÉTO SMLOUVY O DÍLO K NÍ SMLUVNÍ STRANY PŘIPOJILY SVÉ PODFISY:</w:t>
      </w:r>
    </w:p>
    <w:p w:rsidR="00673F86" w:rsidRDefault="005D44CA">
      <w:pPr>
        <w:spacing w:after="489" w:line="265" w:lineRule="auto"/>
        <w:ind w:left="125" w:right="0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dálnic CR</w:t>
      </w:r>
    </w:p>
    <w:p w:rsidR="00673F86" w:rsidRDefault="005D44CA">
      <w:pPr>
        <w:spacing w:after="540"/>
        <w:ind w:left="129" w:right="4"/>
      </w:pPr>
      <w:r>
        <w:t>Podpis:</w:t>
      </w:r>
    </w:p>
    <w:p w:rsidR="00673F86" w:rsidRDefault="005D44CA">
      <w:pPr>
        <w:ind w:left="129" w:right="4"/>
      </w:pPr>
      <w:r>
        <w:t xml:space="preserve">Datum: </w:t>
      </w:r>
    </w:p>
    <w:p w:rsidR="00673F86" w:rsidRDefault="005D44CA">
      <w:pPr>
        <w:spacing w:after="503" w:line="265" w:lineRule="auto"/>
        <w:ind w:left="125" w:right="0" w:hanging="10"/>
        <w:jc w:val="left"/>
      </w:pPr>
      <w:r>
        <w:rPr>
          <w:sz w:val="26"/>
        </w:rPr>
        <w:t>Pachové ohradníky s.r.o.</w:t>
      </w:r>
    </w:p>
    <w:p w:rsidR="00673F86" w:rsidRDefault="005D44CA">
      <w:pPr>
        <w:spacing w:after="10"/>
        <w:ind w:left="129" w:right="4"/>
      </w:pPr>
      <w:r>
        <w:t xml:space="preserve">Podpis: </w:t>
      </w:r>
      <w:r>
        <w:rPr>
          <w:u w:val="single" w:color="000000"/>
        </w:rPr>
        <w:t>_%</w:t>
      </w:r>
      <w:proofErr w:type="spellStart"/>
      <w:r>
        <w:rPr>
          <w:u w:val="single" w:color="000000"/>
        </w:rPr>
        <w:t>hQŁŁQ</w:t>
      </w:r>
      <w:proofErr w:type="spellEnd"/>
      <w:r>
        <w:rPr>
          <w:u w:val="single" w:color="000000"/>
        </w:rPr>
        <w:t>_</w:t>
      </w:r>
    </w:p>
    <w:p w:rsidR="00673F86" w:rsidRDefault="005D44CA">
      <w:pPr>
        <w:tabs>
          <w:tab w:val="center" w:pos="2302"/>
        </w:tabs>
        <w:spacing w:after="29"/>
        <w:ind w:left="0" w:right="0" w:firstLine="0"/>
        <w:jc w:val="left"/>
      </w:pPr>
      <w:r>
        <w:t>Jméno:</w:t>
      </w:r>
      <w:r>
        <w:tab/>
      </w:r>
      <w:proofErr w:type="spellStart"/>
      <w:r w:rsidR="00124F58" w:rsidRPr="00124F58">
        <w:rPr>
          <w:highlight w:val="black"/>
        </w:rPr>
        <w:t>xxxxxxxxxxxxxxx</w:t>
      </w:r>
      <w:proofErr w:type="spellEnd"/>
    </w:p>
    <w:p w:rsidR="00673F86" w:rsidRDefault="005D44CA">
      <w:pPr>
        <w:tabs>
          <w:tab w:val="center" w:pos="1908"/>
        </w:tabs>
        <w:spacing w:after="25"/>
        <w:ind w:left="0" w:right="0" w:firstLine="0"/>
        <w:jc w:val="left"/>
      </w:pPr>
      <w:r>
        <w:t>Funkce:</w:t>
      </w:r>
      <w:r>
        <w:tab/>
        <w:t>jednatel</w:t>
      </w:r>
    </w:p>
    <w:p w:rsidR="00673F86" w:rsidRDefault="005D44CA">
      <w:pPr>
        <w:tabs>
          <w:tab w:val="center" w:pos="1723"/>
        </w:tabs>
        <w:spacing w:after="10"/>
        <w:ind w:left="0" w:right="0" w:firstLine="0"/>
        <w:jc w:val="left"/>
      </w:pPr>
      <w:r>
        <w:t xml:space="preserve">Datum: </w:t>
      </w:r>
      <w:r>
        <w:tab/>
        <w:t>20/6</w:t>
      </w:r>
    </w:p>
    <w:p w:rsidR="00673F86" w:rsidRDefault="00673F86">
      <w:pPr>
        <w:spacing w:after="0" w:line="259" w:lineRule="auto"/>
        <w:ind w:left="-734" w:right="11306" w:firstLine="0"/>
        <w:jc w:val="left"/>
      </w:pPr>
      <w:bookmarkStart w:id="0" w:name="_GoBack"/>
      <w:bookmarkEnd w:id="0"/>
    </w:p>
    <w:sectPr w:rsidR="00673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754" w:right="614" w:bottom="1609" w:left="7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CA" w:rsidRDefault="005D44CA" w:rsidP="005D44CA">
      <w:pPr>
        <w:spacing w:after="0" w:line="240" w:lineRule="auto"/>
      </w:pPr>
      <w:r>
        <w:separator/>
      </w:r>
    </w:p>
  </w:endnote>
  <w:endnote w:type="continuationSeparator" w:id="0">
    <w:p w:rsidR="005D44CA" w:rsidRDefault="005D44CA" w:rsidP="005D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CA" w:rsidRDefault="005D44CA" w:rsidP="005D44CA">
      <w:pPr>
        <w:spacing w:after="0" w:line="240" w:lineRule="auto"/>
      </w:pPr>
      <w:r>
        <w:separator/>
      </w:r>
    </w:p>
  </w:footnote>
  <w:footnote w:type="continuationSeparator" w:id="0">
    <w:p w:rsidR="005D44CA" w:rsidRDefault="005D44CA" w:rsidP="005D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CA" w:rsidRDefault="005D44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86"/>
    <w:rsid w:val="00124F58"/>
    <w:rsid w:val="005D44CA"/>
    <w:rsid w:val="006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F9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2" w:line="249" w:lineRule="auto"/>
      <w:ind w:left="662" w:right="24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"/>
      <w:ind w:right="13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D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4C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D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4C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2016-11-09T13:26:00Z</dcterms:created>
  <dcterms:modified xsi:type="dcterms:W3CDTF">2016-11-09T13:26:00Z</dcterms:modified>
</cp:coreProperties>
</file>