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9" w:rsidRDefault="009E31A2" w:rsidP="009E31A2">
      <w:pPr>
        <w:pStyle w:val="Nzev"/>
        <w:rPr>
          <w:sz w:val="32"/>
          <w:szCs w:val="32"/>
        </w:rPr>
      </w:pPr>
      <w:r w:rsidRPr="002A5525">
        <w:rPr>
          <w:sz w:val="32"/>
          <w:szCs w:val="32"/>
        </w:rPr>
        <w:t xml:space="preserve">Dodatek č. </w:t>
      </w:r>
      <w:r w:rsidR="00B92B90">
        <w:rPr>
          <w:sz w:val="32"/>
          <w:szCs w:val="32"/>
        </w:rPr>
        <w:t>1</w:t>
      </w:r>
      <w:r w:rsidRPr="002A5525">
        <w:rPr>
          <w:sz w:val="32"/>
          <w:szCs w:val="32"/>
        </w:rPr>
        <w:t xml:space="preserve"> ke Smlouvě o užití, implementaci a provoz</w:t>
      </w:r>
      <w:r w:rsidR="003C47A9">
        <w:rPr>
          <w:sz w:val="32"/>
          <w:szCs w:val="32"/>
        </w:rPr>
        <w:t>ní podpoře informačního systému</w:t>
      </w:r>
    </w:p>
    <w:p w:rsidR="00B22004" w:rsidRDefault="003C47A9" w:rsidP="009E31A2">
      <w:pPr>
        <w:pStyle w:val="Nzev"/>
        <w:rPr>
          <w:sz w:val="32"/>
          <w:szCs w:val="32"/>
        </w:rPr>
      </w:pPr>
      <w:r w:rsidRPr="00153980">
        <w:rPr>
          <w:sz w:val="32"/>
          <w:szCs w:val="32"/>
        </w:rPr>
        <w:t>HELIOS F</w:t>
      </w:r>
      <w:r>
        <w:rPr>
          <w:sz w:val="32"/>
          <w:szCs w:val="32"/>
        </w:rPr>
        <w:t>ENIX</w:t>
      </w:r>
      <w:r w:rsidR="00153980">
        <w:rPr>
          <w:sz w:val="32"/>
          <w:szCs w:val="32"/>
        </w:rPr>
        <w:t xml:space="preserve"> </w:t>
      </w:r>
      <w:r w:rsidR="009E31A2" w:rsidRPr="002A5525">
        <w:rPr>
          <w:sz w:val="32"/>
          <w:szCs w:val="32"/>
        </w:rPr>
        <w:t xml:space="preserve">č. </w:t>
      </w:r>
      <w:r w:rsidR="00B92B90">
        <w:rPr>
          <w:sz w:val="32"/>
          <w:szCs w:val="32"/>
        </w:rPr>
        <w:t>F-10-00782</w:t>
      </w:r>
    </w:p>
    <w:p w:rsidR="00B92B90" w:rsidRPr="002A5525" w:rsidRDefault="00B92B90" w:rsidP="009E31A2">
      <w:pPr>
        <w:pStyle w:val="Nzev"/>
        <w:rPr>
          <w:sz w:val="20"/>
        </w:rPr>
      </w:pPr>
    </w:p>
    <w:p w:rsidR="009E31A2" w:rsidRPr="002A5525" w:rsidRDefault="009E31A2" w:rsidP="009E31A2">
      <w:pPr>
        <w:pStyle w:val="Nzev"/>
        <w:rPr>
          <w:sz w:val="20"/>
        </w:rPr>
      </w:pPr>
    </w:p>
    <w:p w:rsidR="009E31A2" w:rsidRPr="002A5525" w:rsidRDefault="009E31A2" w:rsidP="009E31A2">
      <w:pPr>
        <w:pStyle w:val="Nzev"/>
        <w:rPr>
          <w:sz w:val="20"/>
        </w:rPr>
      </w:pPr>
      <w:r w:rsidRPr="002A5525">
        <w:rPr>
          <w:sz w:val="20"/>
        </w:rPr>
        <w:t xml:space="preserve">Článek 1 </w:t>
      </w:r>
    </w:p>
    <w:p w:rsidR="009E31A2" w:rsidRPr="002A5525" w:rsidRDefault="009E31A2" w:rsidP="009E31A2">
      <w:pPr>
        <w:pStyle w:val="Nzev"/>
        <w:rPr>
          <w:sz w:val="20"/>
        </w:rPr>
      </w:pPr>
      <w:r w:rsidRPr="002A5525">
        <w:rPr>
          <w:sz w:val="20"/>
        </w:rPr>
        <w:t>Smluvní strany</w:t>
      </w:r>
    </w:p>
    <w:p w:rsidR="009E31A2" w:rsidRPr="002A5525" w:rsidRDefault="009E31A2" w:rsidP="009E31A2">
      <w:pPr>
        <w:pStyle w:val="Nzev"/>
        <w:rPr>
          <w:sz w:val="22"/>
          <w:szCs w:val="22"/>
        </w:rPr>
      </w:pPr>
    </w:p>
    <w:p w:rsidR="00470B6D" w:rsidRPr="002A5525" w:rsidRDefault="00470B6D" w:rsidP="00470B6D">
      <w:pPr>
        <w:pStyle w:val="Nadpis7"/>
        <w:spacing w:line="200" w:lineRule="exact"/>
        <w:ind w:left="2268" w:firstLine="0"/>
        <w:rPr>
          <w:b/>
          <w:sz w:val="22"/>
          <w:szCs w:val="22"/>
        </w:rPr>
      </w:pPr>
      <w:proofErr w:type="spellStart"/>
      <w:r w:rsidRPr="002A5525">
        <w:rPr>
          <w:rStyle w:val="platne1"/>
          <w:b/>
          <w:sz w:val="22"/>
          <w:szCs w:val="22"/>
        </w:rPr>
        <w:t>Asseco</w:t>
      </w:r>
      <w:proofErr w:type="spellEnd"/>
      <w:r w:rsidRPr="002A5525">
        <w:rPr>
          <w:rStyle w:val="platne1"/>
          <w:b/>
          <w:sz w:val="22"/>
          <w:szCs w:val="22"/>
        </w:rPr>
        <w:t xml:space="preserve"> </w:t>
      </w:r>
      <w:proofErr w:type="spellStart"/>
      <w:r w:rsidRPr="002A5525">
        <w:rPr>
          <w:rStyle w:val="platne1"/>
          <w:b/>
          <w:sz w:val="22"/>
          <w:szCs w:val="22"/>
        </w:rPr>
        <w:t>Solutions</w:t>
      </w:r>
      <w:proofErr w:type="spellEnd"/>
      <w:r w:rsidRPr="002A5525">
        <w:rPr>
          <w:rStyle w:val="platne1"/>
          <w:b/>
          <w:sz w:val="22"/>
          <w:szCs w:val="22"/>
        </w:rPr>
        <w:t>, a.s.</w:t>
      </w:r>
    </w:p>
    <w:p w:rsidR="00470B6D" w:rsidRPr="002A5525" w:rsidRDefault="00470B6D" w:rsidP="00470B6D">
      <w:pPr>
        <w:tabs>
          <w:tab w:val="left" w:pos="2268"/>
        </w:tabs>
      </w:pPr>
      <w:r w:rsidRPr="002A5525">
        <w:rPr>
          <w:b/>
        </w:rPr>
        <w:t>se sídlem:</w:t>
      </w:r>
      <w:r w:rsidRPr="002A5525">
        <w:tab/>
      </w:r>
      <w:r w:rsidRPr="002A5525">
        <w:rPr>
          <w:rStyle w:val="apple-style-span"/>
          <w:bCs/>
        </w:rPr>
        <w:t>140 02 Praha 4</w:t>
      </w:r>
      <w:r w:rsidRPr="002A5525">
        <w:rPr>
          <w:rStyle w:val="platne1"/>
        </w:rPr>
        <w:t>,</w:t>
      </w:r>
      <w:r w:rsidRPr="002A5525">
        <w:rPr>
          <w:rStyle w:val="apple-style-span"/>
          <w:bCs/>
        </w:rPr>
        <w:t xml:space="preserve"> Zelený pruh 1560/99</w:t>
      </w:r>
    </w:p>
    <w:p w:rsidR="0058407A" w:rsidRDefault="0058407A" w:rsidP="0058407A">
      <w:pPr>
        <w:tabs>
          <w:tab w:val="left" w:pos="2268"/>
        </w:tabs>
        <w:ind w:left="2300" w:right="-201" w:hanging="2300"/>
      </w:pPr>
      <w:r>
        <w:rPr>
          <w:b/>
        </w:rPr>
        <w:t>jednající:</w:t>
      </w:r>
      <w:r>
        <w:rPr>
          <w:b/>
        </w:rPr>
        <w:tab/>
      </w:r>
      <w:r>
        <w:t>Ing. Jiří Hub, místopředseda představenstva</w:t>
      </w:r>
    </w:p>
    <w:p w:rsidR="00470B6D" w:rsidRPr="002A5525" w:rsidRDefault="00470B6D" w:rsidP="00470B6D">
      <w:pPr>
        <w:tabs>
          <w:tab w:val="left" w:pos="2268"/>
        </w:tabs>
      </w:pPr>
      <w:r w:rsidRPr="002A5525">
        <w:rPr>
          <w:b/>
        </w:rPr>
        <w:t>IČ:</w:t>
      </w:r>
      <w:r w:rsidRPr="002A5525">
        <w:tab/>
      </w:r>
      <w:r w:rsidRPr="002A5525">
        <w:rPr>
          <w:rStyle w:val="apple-style-span"/>
        </w:rPr>
        <w:t>64949541</w:t>
      </w:r>
      <w:r w:rsidRPr="002A5525">
        <w:t xml:space="preserve"> </w:t>
      </w:r>
    </w:p>
    <w:p w:rsidR="00470B6D" w:rsidRPr="002A5525" w:rsidRDefault="00470B6D" w:rsidP="00470B6D">
      <w:pPr>
        <w:tabs>
          <w:tab w:val="left" w:pos="2268"/>
        </w:tabs>
      </w:pPr>
      <w:r w:rsidRPr="002A5525">
        <w:rPr>
          <w:b/>
        </w:rPr>
        <w:t>DIČ:</w:t>
      </w:r>
      <w:r w:rsidRPr="002A5525">
        <w:tab/>
      </w:r>
      <w:bookmarkStart w:id="0" w:name="OLE_LINK2"/>
      <w:r w:rsidRPr="002A5525">
        <w:rPr>
          <w:rStyle w:val="apple-style-span"/>
        </w:rPr>
        <w:t>CZ64949541</w:t>
      </w:r>
      <w:bookmarkEnd w:id="0"/>
    </w:p>
    <w:p w:rsidR="00470B6D" w:rsidRPr="002A5525" w:rsidRDefault="00470B6D" w:rsidP="00470B6D">
      <w:pPr>
        <w:tabs>
          <w:tab w:val="left" w:pos="2300"/>
        </w:tabs>
      </w:pPr>
      <w:r w:rsidRPr="002A5525">
        <w:rPr>
          <w:b/>
        </w:rPr>
        <w:t>bankovní spojení:</w:t>
      </w:r>
      <w:r w:rsidRPr="002A5525">
        <w:rPr>
          <w:b/>
        </w:rPr>
        <w:tab/>
      </w:r>
      <w:r w:rsidR="00DC5BE0">
        <w:t>XXXXXXXXXXXXXXXXXXXXXXXXXXXXXXXXXXXXXXXX</w:t>
      </w:r>
    </w:p>
    <w:p w:rsidR="00470B6D" w:rsidRPr="002A5525" w:rsidRDefault="00470B6D" w:rsidP="00470B6D">
      <w:pPr>
        <w:tabs>
          <w:tab w:val="left" w:pos="2300"/>
        </w:tabs>
      </w:pPr>
      <w:r w:rsidRPr="002A5525">
        <w:tab/>
      </w:r>
    </w:p>
    <w:p w:rsidR="00470B6D" w:rsidRPr="002A5525" w:rsidRDefault="00470B6D" w:rsidP="00470B6D">
      <w:pPr>
        <w:pStyle w:val="Nzev"/>
        <w:jc w:val="left"/>
        <w:rPr>
          <w:b w:val="0"/>
          <w:sz w:val="20"/>
        </w:rPr>
      </w:pPr>
      <w:r w:rsidRPr="002A5525">
        <w:rPr>
          <w:b w:val="0"/>
          <w:sz w:val="20"/>
        </w:rPr>
        <w:t xml:space="preserve">Obchodní firma </w:t>
      </w:r>
      <w:proofErr w:type="spellStart"/>
      <w:r w:rsidRPr="002A5525">
        <w:rPr>
          <w:b w:val="0"/>
          <w:sz w:val="20"/>
        </w:rPr>
        <w:t>Asseco</w:t>
      </w:r>
      <w:proofErr w:type="spellEnd"/>
      <w:r w:rsidRPr="002A5525">
        <w:rPr>
          <w:b w:val="0"/>
          <w:sz w:val="20"/>
        </w:rPr>
        <w:t xml:space="preserve"> </w:t>
      </w:r>
      <w:proofErr w:type="spellStart"/>
      <w:r w:rsidRPr="002A5525">
        <w:rPr>
          <w:b w:val="0"/>
          <w:sz w:val="20"/>
        </w:rPr>
        <w:t>Solutions</w:t>
      </w:r>
      <w:proofErr w:type="spellEnd"/>
      <w:r w:rsidRPr="002A5525">
        <w:rPr>
          <w:b w:val="0"/>
          <w:sz w:val="20"/>
        </w:rPr>
        <w:t>, a.s. Společnost je zapsána v obchodním rejstříku</w:t>
      </w:r>
      <w:r w:rsidRPr="002A5525">
        <w:rPr>
          <w:b w:val="0"/>
          <w:sz w:val="20"/>
        </w:rPr>
        <w:br/>
        <w:t>u Městského soudu v Praze, Spisová značka: B. 3771</w:t>
      </w:r>
    </w:p>
    <w:p w:rsidR="00470B6D" w:rsidRPr="002A5525" w:rsidRDefault="00470B6D" w:rsidP="00470B6D">
      <w:pPr>
        <w:pStyle w:val="Nzev"/>
        <w:jc w:val="left"/>
        <w:rPr>
          <w:b w:val="0"/>
          <w:sz w:val="20"/>
        </w:rPr>
      </w:pPr>
    </w:p>
    <w:p w:rsidR="00470B6D" w:rsidRPr="002A5525" w:rsidRDefault="00470B6D" w:rsidP="00470B6D">
      <w:pPr>
        <w:pStyle w:val="Nzev"/>
        <w:jc w:val="left"/>
        <w:rPr>
          <w:b w:val="0"/>
          <w:sz w:val="20"/>
        </w:rPr>
      </w:pPr>
      <w:r w:rsidRPr="002A5525">
        <w:rPr>
          <w:b w:val="0"/>
          <w:sz w:val="20"/>
        </w:rPr>
        <w:t>dále jen „</w:t>
      </w:r>
      <w:r w:rsidRPr="002A5525">
        <w:rPr>
          <w:sz w:val="20"/>
        </w:rPr>
        <w:t>zhotovitel</w:t>
      </w:r>
      <w:r w:rsidRPr="002A5525">
        <w:rPr>
          <w:b w:val="0"/>
          <w:sz w:val="20"/>
        </w:rPr>
        <w:t>“</w:t>
      </w:r>
    </w:p>
    <w:p w:rsidR="00470B6D" w:rsidRPr="002A5525" w:rsidRDefault="00470B6D" w:rsidP="00470B6D">
      <w:pPr>
        <w:pStyle w:val="Nzev"/>
        <w:rPr>
          <w:b w:val="0"/>
          <w:sz w:val="20"/>
        </w:rPr>
      </w:pPr>
      <w:r w:rsidRPr="002A5525">
        <w:rPr>
          <w:b w:val="0"/>
          <w:sz w:val="20"/>
        </w:rPr>
        <w:t>a</w:t>
      </w:r>
    </w:p>
    <w:p w:rsidR="00470B6D" w:rsidRPr="002A5525" w:rsidRDefault="00470B6D" w:rsidP="00470B6D">
      <w:pPr>
        <w:pStyle w:val="Nzev"/>
        <w:rPr>
          <w:b w:val="0"/>
          <w:sz w:val="20"/>
        </w:rPr>
      </w:pPr>
    </w:p>
    <w:p w:rsidR="00B92B90" w:rsidRPr="007A5E60" w:rsidRDefault="00B92B90" w:rsidP="00B92B90">
      <w:pPr>
        <w:pStyle w:val="Nadpis7"/>
        <w:keepNext w:val="0"/>
        <w:tabs>
          <w:tab w:val="left" w:pos="2268"/>
        </w:tabs>
        <w:ind w:left="2268" w:firstLine="0"/>
        <w:jc w:val="both"/>
        <w:rPr>
          <w:b/>
          <w:sz w:val="22"/>
          <w:szCs w:val="22"/>
        </w:rPr>
      </w:pPr>
      <w:r w:rsidRPr="007A5E60">
        <w:rPr>
          <w:b/>
          <w:sz w:val="22"/>
          <w:szCs w:val="22"/>
        </w:rPr>
        <w:t>Střední průmyslová škola, Ústí nad Labem, Resslova 5, příspěvková organizace</w:t>
      </w:r>
    </w:p>
    <w:p w:rsidR="00B92B90" w:rsidRPr="007A5E60" w:rsidRDefault="00B92B90" w:rsidP="00B92B90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7A5E60">
        <w:rPr>
          <w:b/>
          <w:sz w:val="20"/>
        </w:rPr>
        <w:t>se sídlem:</w:t>
      </w:r>
      <w:r w:rsidRPr="007A5E60">
        <w:rPr>
          <w:sz w:val="20"/>
        </w:rPr>
        <w:tab/>
        <w:t>400 01 Ústí nad Labem, Resslova 5</w:t>
      </w:r>
    </w:p>
    <w:p w:rsidR="00B92B90" w:rsidRPr="007A5E60" w:rsidRDefault="00B92B90" w:rsidP="00B92B90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7A5E60">
        <w:rPr>
          <w:b/>
          <w:sz w:val="20"/>
        </w:rPr>
        <w:t>jednající:</w:t>
      </w:r>
      <w:r w:rsidRPr="007A5E60">
        <w:rPr>
          <w:sz w:val="20"/>
        </w:rPr>
        <w:tab/>
      </w:r>
      <w:r>
        <w:rPr>
          <w:sz w:val="20"/>
        </w:rPr>
        <w:t>Mgr. Bc. Jaroslav Mareš</w:t>
      </w:r>
      <w:r w:rsidRPr="007A5E60">
        <w:rPr>
          <w:sz w:val="20"/>
        </w:rPr>
        <w:t>, ředitel školy</w:t>
      </w:r>
    </w:p>
    <w:p w:rsidR="00B92B90" w:rsidRPr="007A5E60" w:rsidRDefault="00B92B90" w:rsidP="00B92B90">
      <w:pPr>
        <w:tabs>
          <w:tab w:val="left" w:pos="2268"/>
        </w:tabs>
      </w:pPr>
      <w:r w:rsidRPr="007A5E60">
        <w:rPr>
          <w:b/>
        </w:rPr>
        <w:t>IČ:</w:t>
      </w:r>
      <w:r w:rsidRPr="007A5E60">
        <w:tab/>
        <w:t>00082201</w:t>
      </w:r>
    </w:p>
    <w:p w:rsidR="00B92B90" w:rsidRPr="007A5E60" w:rsidRDefault="00B92B90" w:rsidP="00B92B90">
      <w:pPr>
        <w:tabs>
          <w:tab w:val="left" w:pos="2268"/>
        </w:tabs>
      </w:pPr>
      <w:r w:rsidRPr="007A5E60">
        <w:rPr>
          <w:b/>
        </w:rPr>
        <w:t>DIČ:</w:t>
      </w:r>
      <w:r w:rsidRPr="007A5E60">
        <w:tab/>
        <w:t>CZ00082201</w:t>
      </w:r>
    </w:p>
    <w:p w:rsidR="00470B6D" w:rsidRPr="002A5525" w:rsidRDefault="00B92B90" w:rsidP="00DC5BE0">
      <w:pPr>
        <w:pStyle w:val="Nadpis7"/>
        <w:keepNext w:val="0"/>
        <w:tabs>
          <w:tab w:val="left" w:pos="2268"/>
        </w:tabs>
        <w:ind w:left="0" w:firstLine="0"/>
      </w:pPr>
      <w:r w:rsidRPr="007A5E60">
        <w:rPr>
          <w:b/>
          <w:sz w:val="20"/>
        </w:rPr>
        <w:t>bankovní spojení:</w:t>
      </w:r>
      <w:r w:rsidR="00954A9D">
        <w:rPr>
          <w:sz w:val="20"/>
        </w:rPr>
        <w:tab/>
      </w:r>
      <w:r w:rsidR="00DC5BE0">
        <w:rPr>
          <w:sz w:val="20"/>
        </w:rPr>
        <w:t>XXXXXXXXXXXXXXXXXXXXXXXXXXXXXXXXXXXXX</w:t>
      </w:r>
    </w:p>
    <w:p w:rsidR="00470B6D" w:rsidRPr="002A5525" w:rsidRDefault="00470B6D" w:rsidP="00470B6D">
      <w:pPr>
        <w:pStyle w:val="Normln0"/>
        <w:tabs>
          <w:tab w:val="left" w:pos="2268"/>
        </w:tabs>
        <w:rPr>
          <w:rFonts w:ascii="Verdana" w:hAnsi="Verdana"/>
          <w:snapToGrid/>
          <w:sz w:val="20"/>
        </w:rPr>
      </w:pPr>
      <w:r w:rsidRPr="002A5525">
        <w:rPr>
          <w:rFonts w:ascii="Verdana" w:hAnsi="Verdana"/>
          <w:snapToGrid/>
          <w:sz w:val="20"/>
        </w:rPr>
        <w:t>dále jen „</w:t>
      </w:r>
      <w:r w:rsidRPr="002A5525">
        <w:rPr>
          <w:rFonts w:ascii="Verdana" w:hAnsi="Verdana"/>
          <w:b/>
          <w:snapToGrid/>
          <w:sz w:val="20"/>
        </w:rPr>
        <w:t>objednatel</w:t>
      </w:r>
      <w:r w:rsidRPr="002A5525">
        <w:rPr>
          <w:rFonts w:ascii="Verdana" w:hAnsi="Verdana"/>
          <w:snapToGrid/>
          <w:sz w:val="20"/>
        </w:rPr>
        <w:t>“</w:t>
      </w:r>
    </w:p>
    <w:p w:rsidR="009E31A2" w:rsidRPr="00573A7D" w:rsidRDefault="009E31A2" w:rsidP="009E31A2">
      <w:pPr>
        <w:jc w:val="center"/>
      </w:pPr>
    </w:p>
    <w:p w:rsidR="009E31A2" w:rsidRPr="00573A7D" w:rsidRDefault="009E31A2" w:rsidP="009E31A2">
      <w:pPr>
        <w:jc w:val="center"/>
      </w:pPr>
    </w:p>
    <w:p w:rsidR="00415A91" w:rsidRPr="00573A7D" w:rsidRDefault="00415A91" w:rsidP="009E31A2">
      <w:pPr>
        <w:jc w:val="center"/>
      </w:pPr>
    </w:p>
    <w:p w:rsidR="009E31A2" w:rsidRPr="00573A7D" w:rsidRDefault="009E31A2" w:rsidP="009E31A2">
      <w:pPr>
        <w:jc w:val="center"/>
      </w:pPr>
    </w:p>
    <w:p w:rsidR="005113BF" w:rsidRPr="00153980" w:rsidRDefault="005113BF" w:rsidP="005113BF">
      <w:pPr>
        <w:pStyle w:val="Styl1"/>
      </w:pPr>
      <w:r w:rsidRPr="00153980">
        <w:t>Dnem 1.4.2011 došlo k přejmenování produktu FENIX na HELIOS FENIX.</w:t>
      </w:r>
    </w:p>
    <w:p w:rsidR="005113BF" w:rsidRPr="00153980" w:rsidRDefault="005113BF" w:rsidP="005113BF">
      <w:pPr>
        <w:pStyle w:val="Styl1"/>
        <w:tabs>
          <w:tab w:val="clear" w:pos="360"/>
        </w:tabs>
        <w:ind w:firstLine="0"/>
      </w:pPr>
    </w:p>
    <w:p w:rsidR="005113BF" w:rsidRPr="00153980" w:rsidRDefault="005113BF" w:rsidP="005113BF">
      <w:pPr>
        <w:pStyle w:val="Styl1"/>
      </w:pPr>
      <w:r w:rsidRPr="00153980">
        <w:t>Smluvní strany tímto dodatkem doplňují Čl.</w:t>
      </w:r>
      <w:r w:rsidR="00A93F8A" w:rsidRPr="00153980">
        <w:t xml:space="preserve"> </w:t>
      </w:r>
      <w:r w:rsidRPr="00153980">
        <w:t>3 o odst.</w:t>
      </w:r>
      <w:r w:rsidR="00A93F8A" w:rsidRPr="00153980">
        <w:t xml:space="preserve"> </w:t>
      </w:r>
      <w:r w:rsidRPr="00153980">
        <w:t>4</w:t>
      </w:r>
    </w:p>
    <w:p w:rsidR="005113BF" w:rsidRPr="00153980" w:rsidRDefault="005113BF" w:rsidP="005113BF">
      <w:pPr>
        <w:pStyle w:val="Seznam"/>
        <w:spacing w:before="120"/>
        <w:ind w:left="851" w:firstLine="0"/>
        <w:jc w:val="both"/>
      </w:pPr>
      <w:r w:rsidRPr="00153980">
        <w:t>4.</w:t>
      </w:r>
      <w:r w:rsidR="00A93F8A" w:rsidRPr="00153980">
        <w:t> Legislativní podpora</w:t>
      </w:r>
      <w:r w:rsidRPr="00153980">
        <w:t>:</w:t>
      </w:r>
    </w:p>
    <w:p w:rsidR="004046BF" w:rsidRPr="00153980" w:rsidRDefault="004046BF" w:rsidP="004046BF">
      <w:pPr>
        <w:pStyle w:val="Zkladntextodsazen"/>
        <w:numPr>
          <w:ilvl w:val="0"/>
          <w:numId w:val="5"/>
        </w:numPr>
        <w:ind w:left="1418"/>
        <w:jc w:val="both"/>
        <w:rPr>
          <w:color w:val="000000"/>
        </w:rPr>
      </w:pPr>
      <w:r w:rsidRPr="00153980">
        <w:rPr>
          <w:color w:val="000000"/>
        </w:rPr>
        <w:t>zaplacením poplatku za dodávky upgrade získává objednatel nárok na to, že bude dodaný HELIOS FENIX v souladu s aktuálním stavem právního řádu České republiky</w:t>
      </w:r>
    </w:p>
    <w:p w:rsidR="004046BF" w:rsidRPr="00153980" w:rsidRDefault="004046BF" w:rsidP="004046BF">
      <w:pPr>
        <w:pStyle w:val="Zkladntextodsazen"/>
        <w:numPr>
          <w:ilvl w:val="0"/>
          <w:numId w:val="5"/>
        </w:numPr>
        <w:ind w:left="1418"/>
        <w:jc w:val="both"/>
        <w:rPr>
          <w:color w:val="000000"/>
        </w:rPr>
      </w:pPr>
      <w:r w:rsidRPr="00153980">
        <w:rPr>
          <w:color w:val="000000"/>
        </w:rPr>
        <w:t xml:space="preserve">legislativní úpravou se rozumí úprava </w:t>
      </w:r>
      <w:r w:rsidR="002879F7" w:rsidRPr="00153980">
        <w:rPr>
          <w:color w:val="000000"/>
        </w:rPr>
        <w:t>stávající funkčnosti</w:t>
      </w:r>
      <w:r w:rsidRPr="00153980">
        <w:rPr>
          <w:color w:val="000000"/>
        </w:rPr>
        <w:t xml:space="preserve"> HELIOS FENIX, kterou je nutné provést, protože stávající funkcionalita by nutila zákazníka konat v rozporu s novou legislativní úpravou</w:t>
      </w:r>
    </w:p>
    <w:p w:rsidR="005113BF" w:rsidRPr="00153980" w:rsidRDefault="004046BF" w:rsidP="009C4E1D">
      <w:pPr>
        <w:pStyle w:val="Zkladntextodsazen"/>
        <w:numPr>
          <w:ilvl w:val="0"/>
          <w:numId w:val="5"/>
        </w:numPr>
        <w:ind w:left="1418"/>
        <w:jc w:val="both"/>
        <w:rPr>
          <w:color w:val="000000"/>
        </w:rPr>
      </w:pPr>
      <w:r w:rsidRPr="00153980">
        <w:rPr>
          <w:color w:val="000000"/>
        </w:rPr>
        <w:t>legislativní úpravou se nerozumí doplnění funkcionality (řešené oblasti), kterou stávající systém HELIOS FENIX nepokrýval v době prodeje</w:t>
      </w:r>
    </w:p>
    <w:p w:rsidR="005113BF" w:rsidRPr="00153980" w:rsidRDefault="005113BF" w:rsidP="005113BF">
      <w:pPr>
        <w:pStyle w:val="Seznam"/>
        <w:ind w:left="360" w:firstLine="0"/>
        <w:jc w:val="both"/>
      </w:pPr>
    </w:p>
    <w:p w:rsidR="00DB6A3E" w:rsidRDefault="00DB6A3E" w:rsidP="005113BF">
      <w:pPr>
        <w:pStyle w:val="Styl1"/>
      </w:pPr>
      <w:r w:rsidRPr="00153980">
        <w:t xml:space="preserve">Smluvní strany tímto dodatkem doplňují Čl. </w:t>
      </w:r>
      <w:r>
        <w:t>8</w:t>
      </w:r>
      <w:r w:rsidRPr="00153980">
        <w:t xml:space="preserve"> o odst. </w:t>
      </w:r>
      <w:r>
        <w:t>6</w:t>
      </w:r>
    </w:p>
    <w:p w:rsidR="00DB6A3E" w:rsidRDefault="00DB6A3E" w:rsidP="00DB6A3E">
      <w:pPr>
        <w:pStyle w:val="Styl1"/>
        <w:tabs>
          <w:tab w:val="clear" w:pos="360"/>
        </w:tabs>
        <w:ind w:left="851" w:firstLine="0"/>
      </w:pPr>
      <w: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:rsidR="001940AA" w:rsidRDefault="004028E4" w:rsidP="001940AA">
      <w:pPr>
        <w:pStyle w:val="Seznam"/>
        <w:numPr>
          <w:ilvl w:val="0"/>
          <w:numId w:val="1"/>
        </w:numPr>
        <w:spacing w:before="120"/>
        <w:ind w:left="357" w:hanging="357"/>
        <w:jc w:val="both"/>
      </w:pPr>
      <w:r w:rsidRPr="004755D7">
        <w:t>Smluvní strany tímto dodatkem mění webový odkaz uvedený v Čl.</w:t>
      </w:r>
      <w:r w:rsidR="00A93F8A" w:rsidRPr="004755D7">
        <w:t xml:space="preserve"> </w:t>
      </w:r>
      <w:r w:rsidRPr="004755D7">
        <w:t xml:space="preserve">3 odst. 3 na </w:t>
      </w:r>
      <w:hyperlink r:id="rId12" w:history="1">
        <w:r w:rsidR="001940AA" w:rsidRPr="00CD55FF">
          <w:rPr>
            <w:rStyle w:val="Hypertextovodkaz"/>
          </w:rPr>
          <w:t>http://www.helios.eu/fenix.html</w:t>
        </w:r>
      </w:hyperlink>
    </w:p>
    <w:p w:rsidR="00470B6D" w:rsidRPr="002A5525" w:rsidRDefault="00FD3562" w:rsidP="005113BF">
      <w:pPr>
        <w:pStyle w:val="Styl2"/>
      </w:pPr>
      <w:r w:rsidRPr="002A5525">
        <w:lastRenderedPageBreak/>
        <w:t xml:space="preserve">Smluvní strany tímto dodatkem mění a nahrazují stávající </w:t>
      </w:r>
      <w:r w:rsidR="00311BDA">
        <w:t>p</w:t>
      </w:r>
      <w:r w:rsidR="0061357B">
        <w:t>řílohy č. 1,</w:t>
      </w:r>
      <w:r w:rsidRPr="002A5525">
        <w:t xml:space="preserve"> č. 2</w:t>
      </w:r>
      <w:r w:rsidR="0061357B">
        <w:t xml:space="preserve"> a č. 3</w:t>
      </w:r>
      <w:r w:rsidR="00470B6D" w:rsidRPr="002A5525">
        <w:t xml:space="preserve"> Smlouvy o užití, implementaci a provozní podpoře informačního systému </w:t>
      </w:r>
      <w:r w:rsidR="003C47A9">
        <w:t>HELIOS FENIX</w:t>
      </w:r>
      <w:r w:rsidR="00470B6D" w:rsidRPr="002A5525">
        <w:t xml:space="preserve"> č. </w:t>
      </w:r>
      <w:r w:rsidR="00B92B90">
        <w:t>F-10-000782</w:t>
      </w:r>
      <w:r w:rsidRPr="002A5525">
        <w:t xml:space="preserve"> ze dne</w:t>
      </w:r>
      <w:r w:rsidR="002A5525" w:rsidRPr="002A5525">
        <w:t> </w:t>
      </w:r>
      <w:r w:rsidR="00B92B90">
        <w:t>19.11.2010</w:t>
      </w:r>
      <w:r w:rsidR="002A5525" w:rsidRPr="002A5525">
        <w:t> .</w:t>
      </w:r>
    </w:p>
    <w:p w:rsidR="00470B6D" w:rsidRPr="002A5525" w:rsidRDefault="00470B6D" w:rsidP="004755D7">
      <w:pPr>
        <w:pStyle w:val="Styl2"/>
      </w:pPr>
      <w:r w:rsidRPr="004755D7">
        <w:t xml:space="preserve">Ostatní ujednání Smlouvy o užití, implementaci a provozní podpoře informačního systému </w:t>
      </w:r>
      <w:r w:rsidR="003C47A9" w:rsidRPr="004755D7">
        <w:t>HELIOS FENIX</w:t>
      </w:r>
      <w:r w:rsidRPr="004755D7">
        <w:t xml:space="preserve"> č. </w:t>
      </w:r>
      <w:r w:rsidR="00B92B90">
        <w:t>F-10-000782</w:t>
      </w:r>
      <w:r w:rsidRPr="004755D7">
        <w:t xml:space="preserve"> tímto dodatkem nedotčená zůstávají v platnosti beze</w:t>
      </w:r>
      <w:r w:rsidRPr="002A5525">
        <w:t xml:space="preserve"> změny a jsou závazná a platná i pro tento dodatek.</w:t>
      </w:r>
    </w:p>
    <w:p w:rsidR="00470B6D" w:rsidRPr="002A5525" w:rsidRDefault="00470B6D" w:rsidP="009E31A2">
      <w:pPr>
        <w:pStyle w:val="Seznam"/>
        <w:numPr>
          <w:ilvl w:val="0"/>
          <w:numId w:val="1"/>
        </w:numPr>
        <w:spacing w:before="120"/>
        <w:ind w:left="357" w:hanging="357"/>
        <w:jc w:val="both"/>
      </w:pPr>
      <w:r w:rsidRPr="002A5525">
        <w:t>Dodatek nabývá platnosti a účinnosti dnem podpisu oběma stranami</w:t>
      </w:r>
      <w:r w:rsidR="002A5525" w:rsidRPr="002A5525">
        <w:t>.</w:t>
      </w:r>
    </w:p>
    <w:p w:rsidR="009E31A2" w:rsidRPr="002A5525" w:rsidRDefault="009E31A2" w:rsidP="009E31A2">
      <w:pPr>
        <w:pStyle w:val="Seznam"/>
        <w:numPr>
          <w:ilvl w:val="0"/>
          <w:numId w:val="1"/>
        </w:numPr>
        <w:spacing w:before="120"/>
        <w:ind w:left="357" w:hanging="357"/>
        <w:jc w:val="both"/>
      </w:pPr>
      <w:r w:rsidRPr="002A5525">
        <w:t>Dodatek se vyhotovuje ve dvou vyhotoveních s platností originálu, z nichž každá strana obdrží po jednom vyhotovení.</w:t>
      </w:r>
    </w:p>
    <w:p w:rsidR="009E31A2" w:rsidRPr="002A5525" w:rsidRDefault="009E31A2" w:rsidP="009E31A2">
      <w:pPr>
        <w:pStyle w:val="Seznam"/>
        <w:numPr>
          <w:ilvl w:val="0"/>
          <w:numId w:val="1"/>
        </w:numPr>
        <w:spacing w:before="120"/>
        <w:ind w:left="357" w:hanging="357"/>
        <w:jc w:val="both"/>
      </w:pPr>
      <w:r w:rsidRPr="002A5525">
        <w:t>Obě strany prohlašují, že tento dodatek uzavřely svobodně a vážně, na základě projevené vůle obou smluvních stran, souhlasí s jeho obsahem, což stvrz</w:t>
      </w:r>
      <w:r w:rsidR="004D55D4" w:rsidRPr="002A5525">
        <w:t>u</w:t>
      </w:r>
      <w:r w:rsidRPr="002A5525">
        <w:t>jí svými podpisy.</w:t>
      </w:r>
    </w:p>
    <w:p w:rsidR="009E31A2" w:rsidRPr="002A5525" w:rsidRDefault="00FD3562" w:rsidP="009E31A2">
      <w:pPr>
        <w:pStyle w:val="Seznam"/>
        <w:numPr>
          <w:ilvl w:val="0"/>
          <w:numId w:val="1"/>
        </w:numPr>
        <w:spacing w:before="120"/>
        <w:ind w:left="357" w:hanging="357"/>
        <w:jc w:val="both"/>
      </w:pPr>
      <w:r w:rsidRPr="002A5525">
        <w:t xml:space="preserve">Dnem podpisu tohoto dodatku </w:t>
      </w:r>
      <w:r w:rsidR="00311BDA">
        <w:t>p</w:t>
      </w:r>
      <w:r w:rsidR="0061357B">
        <w:t xml:space="preserve">řílohy č. 1, </w:t>
      </w:r>
      <w:r w:rsidRPr="002A5525">
        <w:t xml:space="preserve">č. 2 </w:t>
      </w:r>
      <w:r w:rsidR="0061357B">
        <w:t xml:space="preserve">a č. 3 </w:t>
      </w:r>
      <w:r w:rsidRPr="002A5525">
        <w:t>nabývají platnosti a účinnosti a stávají se nedílnou součástí výše citované smlouvy.</w:t>
      </w:r>
    </w:p>
    <w:p w:rsidR="00415A91" w:rsidRPr="002A5525" w:rsidRDefault="00415A91" w:rsidP="00415A91"/>
    <w:p w:rsidR="002A5525" w:rsidRPr="002A5525" w:rsidRDefault="002A5525" w:rsidP="00415A91"/>
    <w:p w:rsidR="00B22004" w:rsidRPr="002A5525" w:rsidRDefault="00B22004" w:rsidP="00415A91"/>
    <w:p w:rsidR="001C6334" w:rsidRDefault="009E31A2" w:rsidP="009E31A2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 w:rsidRPr="002A5525">
        <w:rPr>
          <w:sz w:val="20"/>
        </w:rPr>
        <w:t>Přílohy:</w:t>
      </w:r>
      <w:r w:rsidRPr="002A5525">
        <w:rPr>
          <w:sz w:val="20"/>
        </w:rPr>
        <w:tab/>
        <w:t xml:space="preserve">č. 1 – Specifikace poskytnutých softwarových modulů </w:t>
      </w:r>
      <w:r w:rsidR="003C47A9">
        <w:rPr>
          <w:sz w:val="20"/>
        </w:rPr>
        <w:t>a funkcí HELIOS FENIX</w:t>
      </w:r>
      <w:r w:rsidR="001C6334">
        <w:rPr>
          <w:sz w:val="20"/>
        </w:rPr>
        <w:t xml:space="preserve"> a</w:t>
      </w:r>
    </w:p>
    <w:p w:rsidR="009E31A2" w:rsidRPr="002A5525" w:rsidRDefault="001C6334" w:rsidP="009E31A2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="009E31A2" w:rsidRPr="002A5525">
        <w:rPr>
          <w:sz w:val="20"/>
        </w:rPr>
        <w:t>harmonogram</w:t>
      </w:r>
      <w:r>
        <w:rPr>
          <w:sz w:val="20"/>
        </w:rPr>
        <w:t xml:space="preserve"> </w:t>
      </w:r>
      <w:r w:rsidR="009E31A2" w:rsidRPr="002A5525">
        <w:rPr>
          <w:sz w:val="20"/>
        </w:rPr>
        <w:t>implementace</w:t>
      </w:r>
    </w:p>
    <w:p w:rsidR="009E31A2" w:rsidRPr="002A5525" w:rsidRDefault="009E31A2" w:rsidP="009E31A2">
      <w:pPr>
        <w:tabs>
          <w:tab w:val="left" w:pos="851"/>
        </w:tabs>
        <w:ind w:left="851" w:hanging="851"/>
      </w:pPr>
      <w:r w:rsidRPr="002A5525">
        <w:tab/>
        <w:t xml:space="preserve">č. 2 – Rozsah </w:t>
      </w:r>
      <w:r w:rsidR="003C47A9">
        <w:t>poskytování provozní podpory HELIOS FENIX</w:t>
      </w:r>
    </w:p>
    <w:p w:rsidR="00545414" w:rsidRPr="007052F4" w:rsidRDefault="00545414" w:rsidP="00545414">
      <w:pPr>
        <w:tabs>
          <w:tab w:val="left" w:pos="851"/>
        </w:tabs>
        <w:ind w:left="851" w:hanging="851"/>
      </w:pPr>
      <w:r>
        <w:tab/>
        <w:t>č. 3 – Obecný ceník prací</w:t>
      </w:r>
    </w:p>
    <w:p w:rsidR="009E31A2" w:rsidRPr="002A5525" w:rsidRDefault="009E31A2" w:rsidP="009E31A2">
      <w:pPr>
        <w:jc w:val="both"/>
      </w:pPr>
    </w:p>
    <w:p w:rsidR="009E31A2" w:rsidRPr="002A5525" w:rsidRDefault="009E31A2" w:rsidP="009E31A2">
      <w:pPr>
        <w:jc w:val="both"/>
      </w:pPr>
    </w:p>
    <w:p w:rsidR="009E31A2" w:rsidRPr="002A5525" w:rsidRDefault="009E31A2" w:rsidP="009E31A2">
      <w:pPr>
        <w:jc w:val="both"/>
      </w:pPr>
    </w:p>
    <w:p w:rsidR="00F05423" w:rsidRPr="002A5525" w:rsidRDefault="00F05423" w:rsidP="00F05423">
      <w:pPr>
        <w:tabs>
          <w:tab w:val="left" w:pos="5103"/>
        </w:tabs>
        <w:jc w:val="both"/>
      </w:pPr>
      <w:r w:rsidRPr="002A5525">
        <w:t>V</w:t>
      </w:r>
      <w:r w:rsidR="00B92B90">
        <w:t> Ústí nad Labem</w:t>
      </w:r>
      <w:r w:rsidRPr="002A5525">
        <w:t xml:space="preserve"> dne ……………</w:t>
      </w:r>
      <w:r w:rsidRPr="002A5525">
        <w:tab/>
        <w:t>V Praze dne …………</w:t>
      </w:r>
    </w:p>
    <w:p w:rsidR="00F05423" w:rsidRPr="002A5525" w:rsidRDefault="00F05423" w:rsidP="00F05423">
      <w:pPr>
        <w:pStyle w:val="Norma"/>
        <w:rPr>
          <w:rFonts w:ascii="Verdana" w:hAnsi="Verdana"/>
        </w:rPr>
      </w:pPr>
    </w:p>
    <w:p w:rsidR="00F05423" w:rsidRPr="002A5525" w:rsidRDefault="00F05423" w:rsidP="00F05423">
      <w:pPr>
        <w:pStyle w:val="Norma"/>
        <w:rPr>
          <w:rFonts w:ascii="Verdana" w:hAnsi="Verdana"/>
        </w:rPr>
      </w:pPr>
    </w:p>
    <w:p w:rsidR="00F05423" w:rsidRPr="002A5525" w:rsidRDefault="00F05423" w:rsidP="00F05423">
      <w:pPr>
        <w:pStyle w:val="Norma"/>
        <w:rPr>
          <w:rFonts w:ascii="Verdana" w:hAnsi="Verdana"/>
        </w:rPr>
      </w:pPr>
    </w:p>
    <w:p w:rsidR="005021E1" w:rsidRDefault="005021E1" w:rsidP="005021E1">
      <w:pPr>
        <w:pStyle w:val="Norma"/>
        <w:tabs>
          <w:tab w:val="left" w:pos="5100"/>
        </w:tabs>
        <w:rPr>
          <w:rFonts w:ascii="Verdana" w:hAnsi="Verdana"/>
        </w:rPr>
      </w:pPr>
      <w:r>
        <w:rPr>
          <w:rFonts w:ascii="Verdana" w:hAnsi="Verdana"/>
        </w:rPr>
        <w:t>Za objednatele:</w:t>
      </w:r>
      <w:r>
        <w:rPr>
          <w:rFonts w:ascii="Verdana" w:hAnsi="Verdana"/>
        </w:rPr>
        <w:tab/>
        <w:t xml:space="preserve">Za poskytovatele: </w:t>
      </w:r>
    </w:p>
    <w:p w:rsidR="005021E1" w:rsidRDefault="005021E1" w:rsidP="005021E1">
      <w:pPr>
        <w:pStyle w:val="Norma"/>
        <w:rPr>
          <w:rFonts w:ascii="Verdana" w:hAnsi="Verdana"/>
        </w:rPr>
      </w:pPr>
    </w:p>
    <w:p w:rsidR="005021E1" w:rsidRDefault="005021E1" w:rsidP="005021E1">
      <w:pPr>
        <w:pStyle w:val="Norma"/>
        <w:rPr>
          <w:rFonts w:ascii="Verdana" w:hAnsi="Verdana"/>
        </w:rPr>
      </w:pPr>
    </w:p>
    <w:p w:rsidR="005021E1" w:rsidRDefault="005021E1" w:rsidP="005021E1">
      <w:pPr>
        <w:pStyle w:val="Norma"/>
        <w:rPr>
          <w:rFonts w:ascii="Verdana" w:hAnsi="Verdana"/>
        </w:rPr>
      </w:pPr>
    </w:p>
    <w:p w:rsidR="005021E1" w:rsidRDefault="005021E1" w:rsidP="005021E1">
      <w:pPr>
        <w:pStyle w:val="Norma"/>
        <w:rPr>
          <w:rFonts w:ascii="Verdana" w:hAnsi="Verdana"/>
        </w:rPr>
      </w:pPr>
    </w:p>
    <w:p w:rsidR="005021E1" w:rsidRDefault="005021E1" w:rsidP="005021E1">
      <w:pPr>
        <w:pStyle w:val="Norma"/>
        <w:tabs>
          <w:tab w:val="left" w:pos="5103"/>
        </w:tabs>
        <w:rPr>
          <w:rFonts w:ascii="Verdana" w:hAnsi="Verdana"/>
        </w:rPr>
      </w:pPr>
      <w:r>
        <w:rPr>
          <w:rFonts w:ascii="Verdana" w:hAnsi="Verdana"/>
        </w:rPr>
        <w:t>.....................................</w:t>
      </w:r>
      <w:r>
        <w:rPr>
          <w:rFonts w:ascii="Verdana" w:hAnsi="Verdana"/>
        </w:rPr>
        <w:tab/>
        <w:t>.....................................</w:t>
      </w:r>
    </w:p>
    <w:p w:rsidR="005021E1" w:rsidRDefault="00B92B90" w:rsidP="005021E1">
      <w:pPr>
        <w:tabs>
          <w:tab w:val="left" w:pos="5103"/>
        </w:tabs>
      </w:pPr>
      <w:r w:rsidRPr="00297E01">
        <w:t>Mgr. Bc. Jaroslav Mareš</w:t>
      </w:r>
      <w:r w:rsidR="005021E1">
        <w:tab/>
        <w:t>Ing. Jiří Hub</w:t>
      </w:r>
    </w:p>
    <w:p w:rsidR="005021E1" w:rsidRDefault="00B92B90" w:rsidP="005021E1">
      <w:pPr>
        <w:tabs>
          <w:tab w:val="left" w:pos="5103"/>
        </w:tabs>
      </w:pPr>
      <w:r>
        <w:t>ř</w:t>
      </w:r>
      <w:r w:rsidRPr="00297E01">
        <w:t xml:space="preserve">editel </w:t>
      </w:r>
      <w:r>
        <w:t>školy</w:t>
      </w:r>
      <w:r w:rsidR="005021E1">
        <w:tab/>
      </w:r>
      <w:bookmarkStart w:id="1" w:name="OLE_LINK1"/>
      <w:r w:rsidR="005021E1">
        <w:t>místopředseda představenstva</w:t>
      </w:r>
      <w:bookmarkEnd w:id="1"/>
    </w:p>
    <w:p w:rsidR="005021E1" w:rsidRDefault="005021E1" w:rsidP="005021E1">
      <w:pPr>
        <w:ind w:left="5100"/>
        <w:jc w:val="both"/>
      </w:pPr>
    </w:p>
    <w:p w:rsidR="005021E1" w:rsidRDefault="005021E1" w:rsidP="005021E1">
      <w:pPr>
        <w:ind w:left="5100"/>
        <w:jc w:val="both"/>
      </w:pPr>
    </w:p>
    <w:p w:rsidR="005021E1" w:rsidRDefault="005021E1" w:rsidP="005021E1">
      <w:pPr>
        <w:ind w:left="5100"/>
        <w:jc w:val="both"/>
      </w:pPr>
    </w:p>
    <w:p w:rsidR="005021E1" w:rsidRDefault="005021E1" w:rsidP="005021E1">
      <w:pPr>
        <w:ind w:left="5100"/>
        <w:jc w:val="both"/>
      </w:pPr>
    </w:p>
    <w:p w:rsidR="005021E1" w:rsidRDefault="005021E1" w:rsidP="005021E1">
      <w:pPr>
        <w:ind w:left="5100"/>
        <w:jc w:val="both"/>
      </w:pPr>
      <w:r>
        <w:t xml:space="preserve">Smlouvu zpracoval/a: </w:t>
      </w:r>
    </w:p>
    <w:p w:rsidR="00B92B90" w:rsidRDefault="00DC5BE0" w:rsidP="005021E1">
      <w:pPr>
        <w:ind w:left="5100"/>
        <w:jc w:val="both"/>
      </w:pPr>
      <w:r>
        <w:t>XXXXXXXXXXXXXXXXXXXXX</w:t>
      </w:r>
      <w:bookmarkStart w:id="2" w:name="_GoBack"/>
      <w:bookmarkEnd w:id="2"/>
    </w:p>
    <w:p w:rsidR="005021E1" w:rsidRDefault="005021E1" w:rsidP="005021E1">
      <w:pPr>
        <w:ind w:left="5100"/>
        <w:jc w:val="both"/>
      </w:pPr>
    </w:p>
    <w:p w:rsidR="009E31A2" w:rsidRPr="002A5525" w:rsidRDefault="009E31A2" w:rsidP="009E31A2">
      <w:pPr>
        <w:ind w:left="5103"/>
        <w:jc w:val="both"/>
        <w:rPr>
          <w:sz w:val="18"/>
          <w:szCs w:val="18"/>
        </w:rPr>
      </w:pPr>
    </w:p>
    <w:p w:rsidR="00B90D1E" w:rsidRPr="002A5525" w:rsidRDefault="00B90D1E" w:rsidP="009E31A2">
      <w:pPr>
        <w:ind w:left="5103"/>
        <w:jc w:val="both"/>
        <w:rPr>
          <w:sz w:val="18"/>
          <w:szCs w:val="18"/>
        </w:rPr>
      </w:pPr>
    </w:p>
    <w:p w:rsidR="00F05423" w:rsidRPr="002A5525" w:rsidRDefault="00F05423" w:rsidP="009E31A2">
      <w:pPr>
        <w:ind w:left="5103"/>
        <w:jc w:val="both"/>
        <w:rPr>
          <w:sz w:val="18"/>
          <w:szCs w:val="18"/>
        </w:rPr>
      </w:pPr>
    </w:p>
    <w:p w:rsidR="009E31A2" w:rsidRPr="002A5525" w:rsidRDefault="009E31A2" w:rsidP="009E31A2">
      <w:pPr>
        <w:pStyle w:val="Zkladntext"/>
        <w:ind w:left="284"/>
        <w:rPr>
          <w:sz w:val="18"/>
          <w:szCs w:val="18"/>
        </w:rPr>
        <w:sectPr w:rsidR="009E31A2" w:rsidRPr="002A5525" w:rsidSect="009E31A2">
          <w:headerReference w:type="default" r:id="rId13"/>
          <w:footerReference w:type="default" r:id="rId14"/>
          <w:pgSz w:w="11906" w:h="16838" w:code="9"/>
          <w:pgMar w:top="1701" w:right="1134" w:bottom="1418" w:left="1701" w:header="709" w:footer="709" w:gutter="0"/>
          <w:cols w:space="708"/>
        </w:sectPr>
      </w:pPr>
    </w:p>
    <w:p w:rsidR="009E31A2" w:rsidRPr="002A5525" w:rsidRDefault="009E31A2" w:rsidP="009E31A2">
      <w:pPr>
        <w:pStyle w:val="Zhlav"/>
        <w:jc w:val="center"/>
        <w:rPr>
          <w:b/>
          <w:bCs/>
          <w:sz w:val="24"/>
          <w:szCs w:val="24"/>
        </w:rPr>
      </w:pPr>
      <w:r w:rsidRPr="002A5525">
        <w:rPr>
          <w:b/>
          <w:bCs/>
          <w:sz w:val="24"/>
          <w:szCs w:val="24"/>
        </w:rPr>
        <w:lastRenderedPageBreak/>
        <w:t>Příloha č. 1</w:t>
      </w:r>
    </w:p>
    <w:p w:rsidR="003C47A9" w:rsidRDefault="009E31A2" w:rsidP="009E31A2">
      <w:pPr>
        <w:pStyle w:val="Zhlav"/>
        <w:jc w:val="center"/>
        <w:rPr>
          <w:b/>
          <w:bCs/>
          <w:sz w:val="24"/>
          <w:szCs w:val="24"/>
        </w:rPr>
      </w:pPr>
      <w:r w:rsidRPr="002A5525">
        <w:rPr>
          <w:b/>
          <w:bCs/>
          <w:sz w:val="24"/>
          <w:szCs w:val="24"/>
        </w:rPr>
        <w:t xml:space="preserve">Specifikace poskytnutých softwarových modulů </w:t>
      </w:r>
      <w:r w:rsidR="001C6334">
        <w:rPr>
          <w:b/>
          <w:bCs/>
          <w:sz w:val="24"/>
          <w:szCs w:val="24"/>
        </w:rPr>
        <w:t xml:space="preserve">a funkcí </w:t>
      </w:r>
    </w:p>
    <w:p w:rsidR="009E31A2" w:rsidRPr="002A5525" w:rsidRDefault="003C47A9" w:rsidP="009E31A2">
      <w:pPr>
        <w:pStyle w:val="Zhlav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HELIOS FENIX </w:t>
      </w:r>
      <w:r w:rsidR="009E31A2" w:rsidRPr="002A5525">
        <w:rPr>
          <w:b/>
          <w:bCs/>
          <w:sz w:val="24"/>
          <w:szCs w:val="24"/>
        </w:rPr>
        <w:t>a harmonogram implementace</w:t>
      </w:r>
    </w:p>
    <w:p w:rsidR="009E31A2" w:rsidRPr="002A5525" w:rsidRDefault="009E31A2" w:rsidP="009E31A2">
      <w:pPr>
        <w:pStyle w:val="Zhlav"/>
        <w:jc w:val="center"/>
        <w:rPr>
          <w:b/>
          <w:bCs/>
        </w:rPr>
      </w:pPr>
    </w:p>
    <w:p w:rsidR="009E31A2" w:rsidRPr="002A5525" w:rsidRDefault="009E31A2" w:rsidP="009E31A2">
      <w:pPr>
        <w:pStyle w:val="Zhlav"/>
        <w:jc w:val="center"/>
        <w:rPr>
          <w:b/>
          <w:bCs/>
        </w:rPr>
      </w:pPr>
    </w:p>
    <w:tbl>
      <w:tblPr>
        <w:tblW w:w="9188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1311"/>
        <w:gridCol w:w="1311"/>
        <w:gridCol w:w="1311"/>
        <w:gridCol w:w="1481"/>
      </w:tblGrid>
      <w:tr w:rsidR="00681FBC" w:rsidRPr="007052F4" w:rsidTr="00B92B90">
        <w:trPr>
          <w:cantSplit/>
          <w:jc w:val="center"/>
        </w:trPr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633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Seznam softwarových modulů</w:t>
            </w:r>
          </w:p>
          <w:p w:rsidR="00681FBC" w:rsidRPr="007052F4" w:rsidRDefault="001C6334" w:rsidP="007A0EE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funkcí</w:t>
            </w:r>
            <w:r w:rsidR="00681FBC">
              <w:rPr>
                <w:b/>
              </w:rPr>
              <w:t xml:space="preserve"> </w:t>
            </w:r>
            <w:r w:rsidR="003C47A9">
              <w:rPr>
                <w:b/>
              </w:rPr>
              <w:t>HELIOS FENIX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FBC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 dle platného ceníku</w:t>
            </w:r>
          </w:p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Sleva</w:t>
            </w:r>
          </w:p>
          <w:p w:rsidR="00681FBC" w:rsidRPr="007052F4" w:rsidRDefault="00681FBC" w:rsidP="007A0EE7">
            <w:pPr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681FBC" w:rsidRPr="007052F4" w:rsidRDefault="00681FBC" w:rsidP="007A0EE7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 DPH</w:t>
            </w:r>
          </w:p>
        </w:tc>
      </w:tr>
      <w:tr w:rsidR="00681FBC" w:rsidRPr="007052F4" w:rsidTr="00B92B90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Sklady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Pr="007052F4" w:rsidRDefault="00B92B90" w:rsidP="00B92B90">
            <w:pPr>
              <w:spacing w:before="60" w:after="60"/>
              <w:ind w:left="30" w:right="141" w:hanging="27"/>
              <w:jc w:val="right"/>
            </w:pPr>
            <w:r>
              <w:t>12 000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C67567" w:rsidP="007A0EE7">
            <w:pPr>
              <w:spacing w:before="60" w:after="60"/>
              <w:ind w:left="357" w:hanging="357"/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right="163" w:hanging="49"/>
              <w:jc w:val="right"/>
              <w:rPr>
                <w:lang w:val="en-US"/>
              </w:rPr>
            </w:pPr>
            <w:r>
              <w:rPr>
                <w:lang w:val="en-US"/>
              </w:rPr>
              <w:t>12 000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left="-3" w:right="174" w:hanging="6"/>
              <w:jc w:val="right"/>
            </w:pPr>
            <w:r>
              <w:t>14 520,00</w:t>
            </w:r>
          </w:p>
        </w:tc>
      </w:tr>
      <w:tr w:rsidR="00681FBC" w:rsidRPr="007052F4" w:rsidTr="00B92B90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B92B90" w:rsidRDefault="00B92B90" w:rsidP="00B92B90">
            <w:pPr>
              <w:rPr>
                <w:sz w:val="24"/>
                <w:szCs w:val="24"/>
              </w:rPr>
            </w:pPr>
            <w:r>
              <w:t>Rozpouštění nákladů a výnosů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left="30" w:right="141" w:hanging="27"/>
              <w:jc w:val="right"/>
            </w:pPr>
            <w:r>
              <w:t>12 000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left="357" w:hanging="357"/>
              <w:jc w:val="center"/>
            </w:pPr>
            <w:r>
              <w:t>11 999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right="163" w:hanging="49"/>
              <w:jc w:val="right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left="-3" w:right="174" w:hanging="6"/>
              <w:jc w:val="right"/>
            </w:pPr>
            <w:r>
              <w:t>1,21</w:t>
            </w:r>
          </w:p>
        </w:tc>
      </w:tr>
      <w:tr w:rsidR="00681FBC" w:rsidRPr="007052F4" w:rsidTr="00B92B90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681FBC" w:rsidP="007A0EE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b/>
              </w:rPr>
            </w:pPr>
            <w:r w:rsidRPr="007052F4">
              <w:rPr>
                <w:b/>
              </w:rPr>
              <w:t>Celkem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BC" w:rsidRPr="007052F4" w:rsidRDefault="00B92B90" w:rsidP="007A0EE7">
            <w:pPr>
              <w:spacing w:before="60" w:after="60"/>
              <w:ind w:left="30" w:right="141" w:hanging="27"/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BC" w:rsidRPr="007052F4" w:rsidRDefault="00681FBC" w:rsidP="007A0EE7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052F4">
              <w:rPr>
                <w:b/>
              </w:rP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right="163" w:hanging="49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12 001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C" w:rsidRPr="007052F4" w:rsidRDefault="00B92B90" w:rsidP="007A0EE7">
            <w:pPr>
              <w:spacing w:before="60" w:after="60"/>
              <w:ind w:left="-3" w:right="174" w:hanging="6"/>
              <w:jc w:val="right"/>
              <w:rPr>
                <w:b/>
              </w:rPr>
            </w:pPr>
            <w:r>
              <w:rPr>
                <w:b/>
              </w:rPr>
              <w:t>14 521,21</w:t>
            </w:r>
          </w:p>
        </w:tc>
      </w:tr>
    </w:tbl>
    <w:p w:rsidR="00681FBC" w:rsidRPr="007052F4" w:rsidRDefault="00681FBC" w:rsidP="00681FBC">
      <w:pPr>
        <w:pStyle w:val="Zhlav"/>
        <w:tabs>
          <w:tab w:val="clear" w:pos="4536"/>
          <w:tab w:val="clear" w:pos="9072"/>
        </w:tabs>
      </w:pPr>
    </w:p>
    <w:p w:rsidR="009E31A2" w:rsidRPr="002A5525" w:rsidRDefault="009E31A2" w:rsidP="009E31A2">
      <w:pPr>
        <w:pStyle w:val="Zhlav"/>
        <w:tabs>
          <w:tab w:val="clear" w:pos="4536"/>
          <w:tab w:val="clear" w:pos="9072"/>
        </w:tabs>
      </w:pPr>
    </w:p>
    <w:p w:rsidR="009E31A2" w:rsidRPr="002A5525" w:rsidRDefault="009E31A2" w:rsidP="009E31A2">
      <w:pPr>
        <w:pStyle w:val="Zhlav"/>
        <w:tabs>
          <w:tab w:val="clear" w:pos="4536"/>
          <w:tab w:val="clear" w:pos="9072"/>
        </w:tabs>
      </w:pPr>
    </w:p>
    <w:p w:rsidR="00B7396E" w:rsidRPr="002A5525" w:rsidRDefault="00B7396E" w:rsidP="00B7396E">
      <w:pPr>
        <w:pStyle w:val="Zhlav"/>
        <w:tabs>
          <w:tab w:val="clear" w:pos="4536"/>
          <w:tab w:val="clear" w:pos="9072"/>
        </w:tabs>
      </w:pPr>
    </w:p>
    <w:tbl>
      <w:tblPr>
        <w:tblW w:w="9039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2622"/>
        <w:gridCol w:w="2622"/>
      </w:tblGrid>
      <w:tr w:rsidR="00B7396E" w:rsidRPr="002A5525" w:rsidTr="002F4663">
        <w:trPr>
          <w:cantSplit/>
          <w:trHeight w:val="945"/>
          <w:jc w:val="center"/>
        </w:trPr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7396E" w:rsidRPr="002A5525" w:rsidRDefault="00B7396E" w:rsidP="009918FE">
            <w:pPr>
              <w:spacing w:before="60" w:after="60"/>
              <w:jc w:val="center"/>
              <w:rPr>
                <w:b/>
                <w:bCs/>
              </w:rPr>
            </w:pPr>
            <w:r w:rsidRPr="002A5525">
              <w:rPr>
                <w:b/>
                <w:bCs/>
              </w:rPr>
              <w:t>Harmonogram implementace</w:t>
            </w:r>
          </w:p>
          <w:p w:rsidR="00B7396E" w:rsidRPr="002A5525" w:rsidRDefault="003C47A9" w:rsidP="009918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HELIOS FENIX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396E" w:rsidRPr="002A5525" w:rsidRDefault="00B7396E" w:rsidP="009918FE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Termín zahájení implementace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396E" w:rsidRPr="002A5525" w:rsidRDefault="00B7396E" w:rsidP="009918FE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Termín ukončení implementace</w:t>
            </w:r>
          </w:p>
        </w:tc>
      </w:tr>
      <w:tr w:rsidR="00B7396E" w:rsidRPr="002A5525" w:rsidTr="002F4663">
        <w:trPr>
          <w:cantSplit/>
          <w:jc w:val="center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6E" w:rsidRPr="002A5525" w:rsidRDefault="00B92B90" w:rsidP="009918F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Sklady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96E" w:rsidRPr="002A5525" w:rsidRDefault="00B92B90" w:rsidP="009918FE">
            <w:pPr>
              <w:spacing w:before="60" w:after="60"/>
              <w:ind w:left="357" w:hanging="357"/>
              <w:jc w:val="center"/>
            </w:pPr>
            <w:r>
              <w:t>2/2014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96E" w:rsidRPr="002A5525" w:rsidRDefault="00B92B90" w:rsidP="009918FE">
            <w:pPr>
              <w:spacing w:before="60" w:after="60"/>
              <w:ind w:left="357" w:hanging="357"/>
              <w:jc w:val="center"/>
            </w:pPr>
            <w:r>
              <w:t>2/2014</w:t>
            </w:r>
          </w:p>
        </w:tc>
      </w:tr>
      <w:tr w:rsidR="00B7396E" w:rsidRPr="002A5525" w:rsidTr="002F4663">
        <w:trPr>
          <w:cantSplit/>
          <w:jc w:val="center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6E" w:rsidRPr="002A5525" w:rsidRDefault="00B92B90" w:rsidP="009918F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Rozpouštění nákladů a výnosů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96E" w:rsidRPr="002A5525" w:rsidRDefault="00B7396E" w:rsidP="009918FE">
            <w:pPr>
              <w:spacing w:before="60" w:after="60"/>
              <w:ind w:left="357" w:hanging="357"/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96E" w:rsidRPr="002A5525" w:rsidRDefault="00B7396E" w:rsidP="009918FE">
            <w:pPr>
              <w:spacing w:before="60" w:after="60"/>
              <w:ind w:left="357" w:hanging="357"/>
              <w:jc w:val="center"/>
            </w:pPr>
          </w:p>
        </w:tc>
      </w:tr>
    </w:tbl>
    <w:p w:rsidR="00B7396E" w:rsidRPr="002A5525" w:rsidRDefault="00B7396E" w:rsidP="00B7396E">
      <w:pPr>
        <w:pStyle w:val="Zhlav"/>
        <w:tabs>
          <w:tab w:val="left" w:pos="708"/>
        </w:tabs>
        <w:jc w:val="center"/>
      </w:pPr>
    </w:p>
    <w:p w:rsidR="00681FBC" w:rsidRDefault="00681FBC" w:rsidP="00681FBC">
      <w:pPr>
        <w:pStyle w:val="Zhlav"/>
        <w:tabs>
          <w:tab w:val="left" w:pos="708"/>
        </w:tabs>
        <w:jc w:val="both"/>
        <w:rPr>
          <w:highlight w:val="cyan"/>
        </w:rPr>
      </w:pPr>
    </w:p>
    <w:p w:rsidR="00470B6D" w:rsidRPr="002A5525" w:rsidRDefault="00470B6D" w:rsidP="00470B6D">
      <w:pPr>
        <w:pStyle w:val="Zhlav"/>
        <w:tabs>
          <w:tab w:val="left" w:pos="708"/>
        </w:tabs>
        <w:jc w:val="both"/>
      </w:pPr>
      <w:r w:rsidRPr="00B92B90">
        <w:t>Ukončení implementace</w:t>
      </w:r>
      <w:r w:rsidR="00B92B90" w:rsidRPr="00B92B90">
        <w:t xml:space="preserve"> pro modul Rozpouštění nákladů a výnosů</w:t>
      </w:r>
      <w:r w:rsidRPr="00B92B90">
        <w:t xml:space="preserve"> bude uvedeno na Předávacím protokole nebo na Pracovním listě potvrzeného objednatelem.</w:t>
      </w:r>
    </w:p>
    <w:p w:rsidR="00470B6D" w:rsidRPr="002A5525" w:rsidRDefault="00470B6D" w:rsidP="00470B6D">
      <w:pPr>
        <w:pStyle w:val="Zhlav"/>
        <w:tabs>
          <w:tab w:val="left" w:pos="708"/>
        </w:tabs>
      </w:pPr>
    </w:p>
    <w:p w:rsidR="00470B6D" w:rsidRPr="00B92B90" w:rsidRDefault="00470B6D" w:rsidP="00470B6D">
      <w:r w:rsidRPr="00B92B90">
        <w:t xml:space="preserve">Implementace </w:t>
      </w:r>
      <w:r w:rsidR="00B92B90" w:rsidRPr="00B92B90">
        <w:t xml:space="preserve">Skladů </w:t>
      </w:r>
      <w:r w:rsidRPr="00B92B90">
        <w:t>byla zhotovitelem provedena na základě Pracovního listu potvrzeného objednatelem.</w:t>
      </w:r>
    </w:p>
    <w:p w:rsidR="00B7396E" w:rsidRPr="002A5525" w:rsidRDefault="00B7396E" w:rsidP="00B7396E"/>
    <w:p w:rsidR="008D67A5" w:rsidRPr="002A5525" w:rsidRDefault="008D67A5" w:rsidP="008D67A5">
      <w:pPr>
        <w:pStyle w:val="Zhlav"/>
        <w:tabs>
          <w:tab w:val="clear" w:pos="4536"/>
          <w:tab w:val="clear" w:pos="9072"/>
        </w:tabs>
        <w:jc w:val="center"/>
      </w:pPr>
    </w:p>
    <w:p w:rsidR="009E31A2" w:rsidRPr="002A5525" w:rsidRDefault="009E31A2" w:rsidP="009E31A2">
      <w:pPr>
        <w:pStyle w:val="Zhlav"/>
        <w:tabs>
          <w:tab w:val="clear" w:pos="4536"/>
          <w:tab w:val="clear" w:pos="9072"/>
        </w:tabs>
        <w:jc w:val="center"/>
      </w:pPr>
    </w:p>
    <w:p w:rsidR="009E31A2" w:rsidRPr="002A5525" w:rsidRDefault="009E31A2" w:rsidP="009E31A2">
      <w:pPr>
        <w:pStyle w:val="Zhlav"/>
        <w:jc w:val="center"/>
        <w:rPr>
          <w:b/>
          <w:bCs/>
          <w:sz w:val="24"/>
          <w:szCs w:val="24"/>
        </w:rPr>
      </w:pPr>
      <w:r w:rsidRPr="002A5525">
        <w:br w:type="page"/>
      </w:r>
      <w:r w:rsidRPr="002A5525">
        <w:rPr>
          <w:b/>
          <w:bCs/>
          <w:sz w:val="24"/>
          <w:szCs w:val="24"/>
        </w:rPr>
        <w:lastRenderedPageBreak/>
        <w:t>Příloha č. 2</w:t>
      </w:r>
    </w:p>
    <w:p w:rsidR="009E31A2" w:rsidRPr="002A5525" w:rsidRDefault="009E31A2" w:rsidP="009E31A2">
      <w:pPr>
        <w:pStyle w:val="Zhlav"/>
        <w:jc w:val="center"/>
        <w:rPr>
          <w:b/>
          <w:bCs/>
          <w:sz w:val="24"/>
          <w:szCs w:val="24"/>
        </w:rPr>
      </w:pPr>
      <w:r w:rsidRPr="002A5525">
        <w:rPr>
          <w:b/>
          <w:bCs/>
          <w:sz w:val="24"/>
          <w:szCs w:val="24"/>
        </w:rPr>
        <w:t xml:space="preserve">Rozsah </w:t>
      </w:r>
      <w:r w:rsidR="003C47A9">
        <w:rPr>
          <w:b/>
          <w:bCs/>
          <w:sz w:val="24"/>
          <w:szCs w:val="24"/>
        </w:rPr>
        <w:t>poskytování provozní podpory HELIOS FENIX</w:t>
      </w:r>
    </w:p>
    <w:p w:rsidR="009E31A2" w:rsidRPr="002A5525" w:rsidRDefault="009E31A2" w:rsidP="009E31A2">
      <w:pPr>
        <w:pStyle w:val="Zhlav"/>
        <w:jc w:val="center"/>
        <w:rPr>
          <w:b/>
          <w:bCs/>
        </w:rPr>
      </w:pPr>
    </w:p>
    <w:p w:rsidR="009E31A2" w:rsidRPr="002A5525" w:rsidRDefault="009E31A2" w:rsidP="009E31A2">
      <w:pPr>
        <w:pStyle w:val="Zhlav"/>
        <w:jc w:val="center"/>
        <w:rPr>
          <w:b/>
          <w:bCs/>
        </w:rPr>
      </w:pPr>
    </w:p>
    <w:tbl>
      <w:tblPr>
        <w:tblW w:w="0" w:type="auto"/>
        <w:tblInd w:w="27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0"/>
        <w:gridCol w:w="1700"/>
      </w:tblGrid>
      <w:tr w:rsidR="008C2F0E" w:rsidTr="008C2F0E">
        <w:trPr>
          <w:cantSplit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2F0E" w:rsidRDefault="008C2F0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Název modulů</w:t>
            </w:r>
            <w:r w:rsidR="001C6334">
              <w:rPr>
                <w:b/>
              </w:rPr>
              <w:t xml:space="preserve"> a funkcí</w:t>
            </w:r>
            <w:r w:rsidR="003C47A9">
              <w:rPr>
                <w:b/>
              </w:rPr>
              <w:t xml:space="preserve"> HELIOS FENIX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2F0E" w:rsidRDefault="008C2F0E" w:rsidP="00681FB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Stávající (S)</w:t>
            </w:r>
          </w:p>
          <w:p w:rsidR="008C2F0E" w:rsidRDefault="008C2F0E" w:rsidP="00681FB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Nové (N)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Pr="004D55D4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Rozpočet, účetnictví, výkaznictví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Pr="004D55D4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Pr="004D55D4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došlých faktur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Pr="004D55D4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Pr="004D55D4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vydaných faktur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Pr="004D55D4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Pr="004D55D4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Banka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Pr="004D55D4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Objednávky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Majetek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– přenosy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Default="00B92B90" w:rsidP="000E28C0">
            <w:pPr>
              <w:jc w:val="center"/>
            </w:pPr>
            <w:r>
              <w:t>S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Sklady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Default="00B92B90" w:rsidP="000E28C0">
            <w:pPr>
              <w:jc w:val="center"/>
            </w:pPr>
            <w:r>
              <w:t>N</w:t>
            </w:r>
          </w:p>
        </w:tc>
      </w:tr>
      <w:tr w:rsidR="00B92B90" w:rsidTr="008C2F0E">
        <w:trPr>
          <w:cantSplit/>
        </w:trPr>
        <w:tc>
          <w:tcPr>
            <w:tcW w:w="7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90" w:rsidRDefault="00B92B90" w:rsidP="000E28C0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Rozpouštění nákladů a výnosů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B90" w:rsidRDefault="00B92B90" w:rsidP="000E28C0">
            <w:pPr>
              <w:jc w:val="center"/>
            </w:pPr>
            <w:r>
              <w:t>N</w:t>
            </w:r>
          </w:p>
        </w:tc>
      </w:tr>
    </w:tbl>
    <w:p w:rsidR="009E31A2" w:rsidRDefault="009E31A2" w:rsidP="009E31A2"/>
    <w:p w:rsidR="008C2F0E" w:rsidRPr="002A5525" w:rsidRDefault="008C2F0E" w:rsidP="009E31A2"/>
    <w:p w:rsidR="009E31A2" w:rsidRPr="002A5525" w:rsidRDefault="009E31A2" w:rsidP="009E31A2"/>
    <w:p w:rsidR="009E31A2" w:rsidRPr="002A5525" w:rsidRDefault="009E31A2" w:rsidP="009E31A2"/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9E31A2" w:rsidRPr="002A5525" w:rsidTr="006B3E6D">
        <w:trPr>
          <w:cantSplit/>
          <w:trHeight w:val="42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31A2" w:rsidRPr="002A5525" w:rsidRDefault="009E31A2" w:rsidP="002A5525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2A5525">
              <w:rPr>
                <w:b/>
              </w:rPr>
              <w:t>Služba provozní podpory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31A2" w:rsidRPr="002A5525" w:rsidRDefault="009E31A2" w:rsidP="002A5525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Rozsah poskytované služby</w:t>
            </w:r>
          </w:p>
          <w:p w:rsidR="002A5525" w:rsidRPr="002A5525" w:rsidRDefault="002A5525" w:rsidP="002A5525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pro daný servisní rok</w:t>
            </w:r>
          </w:p>
        </w:tc>
      </w:tr>
      <w:tr w:rsidR="009E31A2" w:rsidRPr="002A5525" w:rsidTr="009E31A2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>Poskytování informací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spacing w:before="60" w:after="60"/>
              <w:ind w:left="357" w:hanging="357"/>
              <w:jc w:val="center"/>
            </w:pPr>
            <w:r w:rsidRPr="002A5525">
              <w:t>průběžně</w:t>
            </w:r>
          </w:p>
        </w:tc>
      </w:tr>
      <w:tr w:rsidR="009E31A2" w:rsidRPr="002A5525" w:rsidTr="009E31A2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>Dodávky upgrade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spacing w:before="60" w:after="60"/>
              <w:ind w:left="357" w:hanging="357"/>
              <w:jc w:val="center"/>
            </w:pPr>
            <w:r w:rsidRPr="002A5525">
              <w:t>nejméně 2x ročně</w:t>
            </w:r>
          </w:p>
        </w:tc>
      </w:tr>
      <w:tr w:rsidR="009E31A2" w:rsidRPr="002A5525" w:rsidTr="009E31A2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>Konzultační a poradenská činnost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B92B90" w:rsidP="009E31A2">
            <w:pPr>
              <w:spacing w:before="60" w:after="60"/>
              <w:ind w:left="357" w:hanging="357"/>
              <w:jc w:val="center"/>
            </w:pPr>
            <w:r>
              <w:t>5</w:t>
            </w:r>
            <w:r w:rsidR="0000745A">
              <w:t xml:space="preserve"> hodin</w:t>
            </w:r>
          </w:p>
        </w:tc>
      </w:tr>
      <w:tr w:rsidR="009E31A2" w:rsidRPr="002A5525" w:rsidTr="009E31A2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>Servisní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spacing w:before="60" w:after="60"/>
              <w:ind w:left="357" w:hanging="357"/>
              <w:jc w:val="center"/>
            </w:pPr>
            <w:r w:rsidRPr="002A5525">
              <w:t>od 1.1. do 31.12.</w:t>
            </w:r>
          </w:p>
        </w:tc>
      </w:tr>
    </w:tbl>
    <w:p w:rsidR="009E31A2" w:rsidRPr="002A5525" w:rsidRDefault="009E31A2" w:rsidP="009E31A2">
      <w:pPr>
        <w:jc w:val="both"/>
      </w:pPr>
    </w:p>
    <w:p w:rsidR="009E31A2" w:rsidRPr="002A5525" w:rsidRDefault="009E31A2" w:rsidP="009E31A2">
      <w:pPr>
        <w:jc w:val="both"/>
      </w:pPr>
    </w:p>
    <w:p w:rsidR="009E31A2" w:rsidRPr="002A5525" w:rsidRDefault="009E31A2" w:rsidP="009E31A2">
      <w:pPr>
        <w:jc w:val="both"/>
      </w:pPr>
    </w:p>
    <w:p w:rsidR="009E31A2" w:rsidRPr="002A5525" w:rsidRDefault="009E31A2" w:rsidP="009E31A2">
      <w:pPr>
        <w:jc w:val="both"/>
      </w:pPr>
    </w:p>
    <w:p w:rsidR="000A0B26" w:rsidRPr="002A5525" w:rsidRDefault="009E31A2" w:rsidP="009E31A2">
      <w:pPr>
        <w:jc w:val="center"/>
        <w:rPr>
          <w:b/>
          <w:sz w:val="24"/>
          <w:szCs w:val="24"/>
        </w:rPr>
      </w:pPr>
      <w:r w:rsidRPr="002A5525">
        <w:rPr>
          <w:b/>
          <w:sz w:val="24"/>
          <w:szCs w:val="24"/>
        </w:rPr>
        <w:t>Stanovení ceny za dodáv</w:t>
      </w:r>
      <w:r w:rsidR="000A0B26" w:rsidRPr="002A5525">
        <w:rPr>
          <w:b/>
          <w:sz w:val="24"/>
          <w:szCs w:val="24"/>
        </w:rPr>
        <w:t>ku upgrade a</w:t>
      </w:r>
    </w:p>
    <w:p w:rsidR="009E31A2" w:rsidRPr="002A5525" w:rsidRDefault="009E31A2" w:rsidP="009E31A2">
      <w:pPr>
        <w:jc w:val="center"/>
        <w:rPr>
          <w:b/>
          <w:sz w:val="24"/>
          <w:szCs w:val="24"/>
        </w:rPr>
      </w:pPr>
      <w:r w:rsidRPr="002A5525">
        <w:rPr>
          <w:b/>
          <w:sz w:val="24"/>
          <w:szCs w:val="24"/>
        </w:rPr>
        <w:t>konzultační a poradenské činnosti</w:t>
      </w:r>
    </w:p>
    <w:p w:rsidR="009E31A2" w:rsidRPr="002A5525" w:rsidRDefault="009E31A2" w:rsidP="009E31A2">
      <w:pPr>
        <w:rPr>
          <w:b/>
        </w:rPr>
      </w:pP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</w:tblGrid>
      <w:tr w:rsidR="009E31A2" w:rsidRPr="002A5525" w:rsidTr="009E31A2">
        <w:trPr>
          <w:cantSplit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31A2" w:rsidRPr="002A5525" w:rsidRDefault="009E31A2" w:rsidP="009E31A2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Služba provozní podpory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E31A2" w:rsidRPr="002A5525" w:rsidRDefault="009E31A2" w:rsidP="009E31A2">
            <w:pPr>
              <w:jc w:val="center"/>
              <w:rPr>
                <w:b/>
              </w:rPr>
            </w:pPr>
            <w:r w:rsidRPr="002A5525">
              <w:rPr>
                <w:b/>
              </w:rPr>
              <w:t>Cena bez DPH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E31A2" w:rsidRPr="002A5525" w:rsidRDefault="009E31A2" w:rsidP="009E31A2">
            <w:pPr>
              <w:spacing w:before="60" w:after="60"/>
              <w:jc w:val="center"/>
              <w:rPr>
                <w:b/>
              </w:rPr>
            </w:pPr>
            <w:r w:rsidRPr="002A5525">
              <w:rPr>
                <w:b/>
              </w:rPr>
              <w:t>Cena s DPH</w:t>
            </w:r>
          </w:p>
        </w:tc>
      </w:tr>
      <w:tr w:rsidR="009E31A2" w:rsidRPr="002A5525" w:rsidTr="00E8502C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 xml:space="preserve">Upgrade </w:t>
            </w:r>
            <w:r w:rsidRPr="002A5525">
              <w:rPr>
                <w:b/>
              </w:rPr>
              <w:t>stávajících</w:t>
            </w:r>
            <w:r w:rsidRPr="002A5525">
              <w:t xml:space="preserve"> modulů</w:t>
            </w:r>
            <w:r w:rsidR="00EF6B1A">
              <w:t xml:space="preserve"> a funkcí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A2" w:rsidRPr="002A5525" w:rsidRDefault="00C67567" w:rsidP="00E8502C">
            <w:pPr>
              <w:ind w:right="213"/>
              <w:jc w:val="right"/>
            </w:pPr>
            <w:r>
              <w:t>13 684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A2" w:rsidRPr="002A5525" w:rsidRDefault="00C67567" w:rsidP="00E8502C">
            <w:pPr>
              <w:ind w:right="213"/>
              <w:jc w:val="right"/>
            </w:pPr>
            <w:r>
              <w:t>16 557,64</w:t>
            </w:r>
          </w:p>
        </w:tc>
      </w:tr>
      <w:tr w:rsidR="009E31A2" w:rsidRPr="002A5525" w:rsidTr="00E8502C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A2" w:rsidRPr="002A5525" w:rsidRDefault="009E31A2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 xml:space="preserve">Upgrade </w:t>
            </w:r>
            <w:r w:rsidRPr="002A5525">
              <w:rPr>
                <w:b/>
              </w:rPr>
              <w:t>nových</w:t>
            </w:r>
            <w:r w:rsidRPr="002A5525">
              <w:t xml:space="preserve"> modulů</w:t>
            </w:r>
            <w:r w:rsidR="001C6334">
              <w:t xml:space="preserve"> a funkcí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A2" w:rsidRPr="002A5525" w:rsidRDefault="00C67567" w:rsidP="00E8502C">
            <w:pPr>
              <w:ind w:right="213"/>
              <w:jc w:val="right"/>
            </w:pPr>
            <w: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A2" w:rsidRPr="002A5525" w:rsidRDefault="00C67567" w:rsidP="00E8502C">
            <w:pPr>
              <w:ind w:right="213"/>
              <w:jc w:val="right"/>
            </w:pPr>
            <w:r>
              <w:t>7 260,00</w:t>
            </w:r>
          </w:p>
        </w:tc>
      </w:tr>
      <w:tr w:rsidR="00E8502C" w:rsidRPr="002A5525" w:rsidTr="00E8502C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2C" w:rsidRPr="002A5525" w:rsidRDefault="00E8502C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t>Konzultační a poradenská činnost (KPČ)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02C" w:rsidRPr="0000745A" w:rsidRDefault="00C67567" w:rsidP="000E4068">
            <w:pPr>
              <w:ind w:right="213"/>
              <w:jc w:val="right"/>
            </w:pPr>
            <w:r>
              <w:t>5 250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02C" w:rsidRPr="0000745A" w:rsidRDefault="00C67567" w:rsidP="000E4068">
            <w:pPr>
              <w:ind w:right="213"/>
              <w:jc w:val="right"/>
            </w:pPr>
            <w:r>
              <w:t>6 352,50</w:t>
            </w:r>
          </w:p>
        </w:tc>
      </w:tr>
      <w:tr w:rsidR="00E8502C" w:rsidRPr="002A5525" w:rsidTr="00E8502C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2C" w:rsidRPr="002A5525" w:rsidRDefault="00E8502C" w:rsidP="009E31A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2A5525"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02C" w:rsidRPr="002A5525" w:rsidRDefault="00C67567" w:rsidP="00E8502C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24 934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02C" w:rsidRPr="002A5525" w:rsidRDefault="00C67567" w:rsidP="00E8502C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30 170,14</w:t>
            </w:r>
          </w:p>
        </w:tc>
      </w:tr>
    </w:tbl>
    <w:p w:rsidR="009E31A2" w:rsidRPr="002A5525" w:rsidRDefault="009E31A2" w:rsidP="009E31A2">
      <w:pPr>
        <w:rPr>
          <w:b/>
        </w:rPr>
      </w:pPr>
    </w:p>
    <w:p w:rsidR="00AE3505" w:rsidRDefault="009E31A2" w:rsidP="00F35C71">
      <w:pPr>
        <w:ind w:left="284" w:right="-709"/>
      </w:pPr>
      <w:r w:rsidRPr="002A5525">
        <w:t>Pozn. Cena za „Upgrade stávajících modulů</w:t>
      </w:r>
      <w:r w:rsidR="00EF6B1A">
        <w:t xml:space="preserve"> a funkcí</w:t>
      </w:r>
      <w:r w:rsidRPr="002A5525">
        <w:t>“ byla stanovena na základě dříve uzavřené smlouvy.</w:t>
      </w:r>
    </w:p>
    <w:p w:rsidR="0061357B" w:rsidRDefault="0061357B" w:rsidP="00F35C71">
      <w:pPr>
        <w:ind w:left="284" w:right="-709"/>
      </w:pPr>
    </w:p>
    <w:p w:rsidR="0061357B" w:rsidRDefault="0061357B" w:rsidP="0061357B">
      <w:pPr>
        <w:pStyle w:val="Zhlav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Příloha č. 3</w:t>
      </w:r>
    </w:p>
    <w:p w:rsidR="0061357B" w:rsidRPr="00FF415D" w:rsidRDefault="0061357B" w:rsidP="0061357B">
      <w:pPr>
        <w:pStyle w:val="Zhlav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ceník prací</w:t>
      </w:r>
    </w:p>
    <w:p w:rsidR="0061357B" w:rsidRDefault="0061357B" w:rsidP="0061357B">
      <w:pPr>
        <w:jc w:val="center"/>
      </w:pPr>
    </w:p>
    <w:p w:rsidR="003E3B5B" w:rsidRDefault="003E3B5B" w:rsidP="003E3B5B">
      <w:pPr>
        <w:jc w:val="center"/>
      </w:pP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5"/>
        <w:gridCol w:w="1795"/>
      </w:tblGrid>
      <w:tr w:rsidR="003E3B5B" w:rsidTr="003E3B5B">
        <w:trPr>
          <w:cantSplit/>
          <w:jc w:val="center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3B5B" w:rsidRDefault="003E3B5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Činnost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3E3B5B" w:rsidRDefault="003E3B5B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3E3B5B" w:rsidRDefault="003E3B5B">
            <w:pPr>
              <w:jc w:val="center"/>
              <w:rPr>
                <w:b/>
              </w:rPr>
            </w:pPr>
            <w:r>
              <w:rPr>
                <w:b/>
              </w:rPr>
              <w:t>bez DPH</w:t>
            </w:r>
          </w:p>
        </w:tc>
      </w:tr>
      <w:tr w:rsidR="003E3B5B" w:rsidTr="003E3B5B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sz w:val="16"/>
                <w:szCs w:val="16"/>
              </w:rPr>
            </w:pPr>
            <w:r>
              <w:t xml:space="preserve">Konzultační a poradenská činnost, včetně vzdálené správy (KPČ) 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ind w:right="213"/>
              <w:jc w:val="right"/>
            </w:pPr>
            <w:r>
              <w:t>1.200 / hod</w:t>
            </w:r>
          </w:p>
        </w:tc>
      </w:tr>
      <w:tr w:rsidR="003E3B5B" w:rsidTr="003E3B5B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Konzultační a poradenská činnost, včetně vzdálené správy (KPČ)</w:t>
            </w:r>
            <w:r>
              <w:rPr>
                <w:sz w:val="16"/>
                <w:szCs w:val="16"/>
              </w:rPr>
              <w:t xml:space="preserve"> **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ind w:right="213"/>
              <w:jc w:val="right"/>
            </w:pPr>
            <w:r>
              <w:t>1.050 / hod</w:t>
            </w:r>
          </w:p>
        </w:tc>
      </w:tr>
      <w:tr w:rsidR="003E3B5B" w:rsidTr="003E3B5B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Implementační práce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1.050 / hod</w:t>
            </w:r>
          </w:p>
        </w:tc>
      </w:tr>
      <w:tr w:rsidR="003E3B5B" w:rsidTr="003E3B5B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Analýza, metodická podpora, návrh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1.500 / hod</w:t>
            </w:r>
          </w:p>
        </w:tc>
      </w:tr>
      <w:tr w:rsidR="003E3B5B" w:rsidTr="003E3B5B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Dopravné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11,50 / km</w:t>
            </w:r>
          </w:p>
        </w:tc>
      </w:tr>
      <w:tr w:rsidR="003E3B5B" w:rsidTr="003E3B5B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Hromadná školení 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750 do</w:t>
            </w:r>
            <w:r>
              <w:rPr>
                <w:spacing w:val="-6"/>
                <w:sz w:val="16"/>
                <w:szCs w:val="16"/>
              </w:rPr>
              <w:t xml:space="preserve"> 1.500 / osoba a školení</w:t>
            </w:r>
          </w:p>
        </w:tc>
      </w:tr>
      <w:tr w:rsidR="003E3B5B" w:rsidTr="003E3B5B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Hromadná speciální školení pro IT 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3B5B" w:rsidRDefault="003E3B5B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od 1.500 do 8.000 / osoba a školení</w:t>
            </w:r>
          </w:p>
        </w:tc>
      </w:tr>
    </w:tbl>
    <w:p w:rsidR="003E3B5B" w:rsidRDefault="003E3B5B" w:rsidP="003E3B5B"/>
    <w:p w:rsidR="003E3B5B" w:rsidRDefault="003E3B5B" w:rsidP="003E3B5B">
      <w:r>
        <w:t xml:space="preserve">  * Standardní cena</w:t>
      </w:r>
    </w:p>
    <w:p w:rsidR="0061357B" w:rsidRPr="002A5525" w:rsidRDefault="003E3B5B" w:rsidP="003E3B5B">
      <w:r>
        <w:t>** Zvýhodněná cena v případě uzavření smlouvy a v rozsahu předplacené min. 1 h</w:t>
      </w:r>
    </w:p>
    <w:sectPr w:rsidR="0061357B" w:rsidRPr="002A5525" w:rsidSect="009E31A2">
      <w:headerReference w:type="default" r:id="rId15"/>
      <w:footerReference w:type="default" r:id="rId16"/>
      <w:pgSz w:w="11906" w:h="16838" w:code="9"/>
      <w:pgMar w:top="1701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01" w:rsidRDefault="00E91801">
      <w:r>
        <w:separator/>
      </w:r>
    </w:p>
  </w:endnote>
  <w:endnote w:type="continuationSeparator" w:id="0">
    <w:p w:rsidR="00E91801" w:rsidRDefault="00E9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04" w:rsidRPr="00941A1F" w:rsidRDefault="00B22004" w:rsidP="009E31A2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5BE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04" w:rsidRPr="00941A1F" w:rsidRDefault="00B22004" w:rsidP="009E31A2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t>1/1</w:t>
    </w:r>
  </w:p>
  <w:p w:rsidR="00B22004" w:rsidRPr="00941A1F" w:rsidRDefault="00B22004" w:rsidP="009E31A2">
    <w:pPr>
      <w:pStyle w:val="Zpat"/>
      <w:pBdr>
        <w:top w:val="single" w:sz="4" w:space="1" w:color="auto"/>
      </w:pBd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01" w:rsidRDefault="00E91801">
      <w:r>
        <w:separator/>
      </w:r>
    </w:p>
  </w:footnote>
  <w:footnote w:type="continuationSeparator" w:id="0">
    <w:p w:rsidR="00E91801" w:rsidRDefault="00E9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04" w:rsidRDefault="00E9180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0;width:154.5pt;height:27pt;z-index:-2" wrapcoords="0 0 -105 1800 -105 9000 524 9600 5138 19200 4823 21000 16567 21000 16777 19200 20971 9600 21600 9000 21600 1800 21495 0 0 0">
          <v:imagedata r:id="rId1" o:title="logo_ASOL_positive"/>
          <w10:wrap type="tight"/>
        </v:shape>
      </w:pict>
    </w:r>
    <w:r w:rsidR="00B22004">
      <w:tab/>
    </w:r>
    <w:r w:rsidR="00B22004">
      <w:tab/>
      <w:t>Číslo dodatku:</w:t>
    </w:r>
    <w:r w:rsidR="00C67567">
      <w:t>F-10-000782</w:t>
    </w:r>
    <w:r w:rsidR="00B22004">
      <w:t xml:space="preserve"> </w:t>
    </w:r>
  </w:p>
  <w:p w:rsidR="00B22004" w:rsidRDefault="00B22004">
    <w:pPr>
      <w:pStyle w:val="Zhlav"/>
    </w:pPr>
    <w:r>
      <w:tab/>
    </w:r>
    <w:r>
      <w:tab/>
      <w:t>Počet příloh: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04" w:rsidRDefault="00E9180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.2pt;width:154.5pt;height:27pt;z-index:-1" wrapcoords="0 0 -105 1800 -105 9000 524 9600 5138 19200 4823 21000 16567 21000 16777 19200 20971 9600 21600 9000 21600 1800 21495 0 0 0">
          <v:imagedata r:id="rId1" o:title="logo_ASOL_positive"/>
          <w10:wrap type="tight"/>
        </v:shape>
      </w:pict>
    </w:r>
    <w:r w:rsidR="00B22004">
      <w:tab/>
    </w:r>
    <w:r w:rsidR="00B22004">
      <w:tab/>
      <w:t>Číslo dodatku:</w:t>
    </w:r>
    <w:r w:rsidR="00C67567">
      <w:t>F-10-000782-01</w:t>
    </w:r>
  </w:p>
  <w:p w:rsidR="00B22004" w:rsidRDefault="00B2200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6D59"/>
    <w:multiLevelType w:val="multilevel"/>
    <w:tmpl w:val="A6907C8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1A2"/>
    <w:rsid w:val="0000745A"/>
    <w:rsid w:val="000323F2"/>
    <w:rsid w:val="00046C4D"/>
    <w:rsid w:val="00080C97"/>
    <w:rsid w:val="000A0B26"/>
    <w:rsid w:val="000D0DAC"/>
    <w:rsid w:val="000E28C0"/>
    <w:rsid w:val="000E4068"/>
    <w:rsid w:val="000E7435"/>
    <w:rsid w:val="000F7444"/>
    <w:rsid w:val="00153980"/>
    <w:rsid w:val="001571B9"/>
    <w:rsid w:val="001940AA"/>
    <w:rsid w:val="001C6334"/>
    <w:rsid w:val="001D49A2"/>
    <w:rsid w:val="001E09CD"/>
    <w:rsid w:val="0022512E"/>
    <w:rsid w:val="00227163"/>
    <w:rsid w:val="002703F2"/>
    <w:rsid w:val="00281410"/>
    <w:rsid w:val="002879F7"/>
    <w:rsid w:val="002A5525"/>
    <w:rsid w:val="002B2BE6"/>
    <w:rsid w:val="002F2012"/>
    <w:rsid w:val="002F2D33"/>
    <w:rsid w:val="002F4663"/>
    <w:rsid w:val="003033AB"/>
    <w:rsid w:val="00311BDA"/>
    <w:rsid w:val="003259DE"/>
    <w:rsid w:val="00372A46"/>
    <w:rsid w:val="003752F3"/>
    <w:rsid w:val="00383201"/>
    <w:rsid w:val="0039455C"/>
    <w:rsid w:val="003B2AE7"/>
    <w:rsid w:val="003C47A9"/>
    <w:rsid w:val="003E3B5B"/>
    <w:rsid w:val="0040120C"/>
    <w:rsid w:val="004028E4"/>
    <w:rsid w:val="004046BF"/>
    <w:rsid w:val="00413CD1"/>
    <w:rsid w:val="00415A91"/>
    <w:rsid w:val="004503DE"/>
    <w:rsid w:val="00451C4B"/>
    <w:rsid w:val="00470B6D"/>
    <w:rsid w:val="004755D7"/>
    <w:rsid w:val="00494892"/>
    <w:rsid w:val="004B0EE3"/>
    <w:rsid w:val="004D55D4"/>
    <w:rsid w:val="004E3957"/>
    <w:rsid w:val="005021E1"/>
    <w:rsid w:val="005113BF"/>
    <w:rsid w:val="005262C7"/>
    <w:rsid w:val="00545414"/>
    <w:rsid w:val="00573A7D"/>
    <w:rsid w:val="00577B45"/>
    <w:rsid w:val="0058407A"/>
    <w:rsid w:val="005D15F6"/>
    <w:rsid w:val="005E798E"/>
    <w:rsid w:val="005F4D39"/>
    <w:rsid w:val="0061357B"/>
    <w:rsid w:val="00617BD3"/>
    <w:rsid w:val="006334FF"/>
    <w:rsid w:val="00654361"/>
    <w:rsid w:val="00681FBC"/>
    <w:rsid w:val="006B0071"/>
    <w:rsid w:val="006B3E6D"/>
    <w:rsid w:val="006C6B1A"/>
    <w:rsid w:val="006F1FEF"/>
    <w:rsid w:val="006F2C8C"/>
    <w:rsid w:val="0077564A"/>
    <w:rsid w:val="007843BF"/>
    <w:rsid w:val="007A0EE7"/>
    <w:rsid w:val="00811D0D"/>
    <w:rsid w:val="0081629E"/>
    <w:rsid w:val="0082257F"/>
    <w:rsid w:val="00823E8C"/>
    <w:rsid w:val="00840120"/>
    <w:rsid w:val="0089186E"/>
    <w:rsid w:val="008C2F0E"/>
    <w:rsid w:val="008D67A5"/>
    <w:rsid w:val="0094530A"/>
    <w:rsid w:val="00954A9D"/>
    <w:rsid w:val="00971750"/>
    <w:rsid w:val="009918FE"/>
    <w:rsid w:val="009B19D2"/>
    <w:rsid w:val="009B61C2"/>
    <w:rsid w:val="009C4E1D"/>
    <w:rsid w:val="009E31A2"/>
    <w:rsid w:val="009F47DA"/>
    <w:rsid w:val="00A15972"/>
    <w:rsid w:val="00A23CB4"/>
    <w:rsid w:val="00A45EB5"/>
    <w:rsid w:val="00A56FBA"/>
    <w:rsid w:val="00A74EC3"/>
    <w:rsid w:val="00A823EA"/>
    <w:rsid w:val="00A93F8A"/>
    <w:rsid w:val="00AC3D97"/>
    <w:rsid w:val="00AE3505"/>
    <w:rsid w:val="00B22004"/>
    <w:rsid w:val="00B67B5B"/>
    <w:rsid w:val="00B701EE"/>
    <w:rsid w:val="00B7396E"/>
    <w:rsid w:val="00B810BE"/>
    <w:rsid w:val="00B90D1E"/>
    <w:rsid w:val="00B92B90"/>
    <w:rsid w:val="00BA20FE"/>
    <w:rsid w:val="00BF223F"/>
    <w:rsid w:val="00C02D89"/>
    <w:rsid w:val="00C13E62"/>
    <w:rsid w:val="00C44ABD"/>
    <w:rsid w:val="00C67567"/>
    <w:rsid w:val="00C9719A"/>
    <w:rsid w:val="00CA49C2"/>
    <w:rsid w:val="00CB53D4"/>
    <w:rsid w:val="00CB63EC"/>
    <w:rsid w:val="00CD33F9"/>
    <w:rsid w:val="00D678DB"/>
    <w:rsid w:val="00DB6A3E"/>
    <w:rsid w:val="00DC2933"/>
    <w:rsid w:val="00DC5BE0"/>
    <w:rsid w:val="00DC5E36"/>
    <w:rsid w:val="00DF6756"/>
    <w:rsid w:val="00E37E6E"/>
    <w:rsid w:val="00E577B9"/>
    <w:rsid w:val="00E8502C"/>
    <w:rsid w:val="00E91801"/>
    <w:rsid w:val="00E95B66"/>
    <w:rsid w:val="00EC22B2"/>
    <w:rsid w:val="00EF6B1A"/>
    <w:rsid w:val="00F05423"/>
    <w:rsid w:val="00F14FA8"/>
    <w:rsid w:val="00F35C71"/>
    <w:rsid w:val="00F70F10"/>
    <w:rsid w:val="00F83D6C"/>
    <w:rsid w:val="00F8486C"/>
    <w:rsid w:val="00F86ED5"/>
    <w:rsid w:val="00FB0046"/>
    <w:rsid w:val="00FC4728"/>
    <w:rsid w:val="00FD356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457D70"/>
  <w15:chartTrackingRefBased/>
  <w15:docId w15:val="{9B8C1268-730A-4102-BADB-3856E97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14FA8"/>
    <w:rPr>
      <w:rFonts w:ascii="Verdana" w:hAnsi="Verdana"/>
    </w:rPr>
  </w:style>
  <w:style w:type="paragraph" w:styleId="Nadpis3">
    <w:name w:val="heading 3"/>
    <w:basedOn w:val="Normln"/>
    <w:next w:val="Normln"/>
    <w:link w:val="Nadpis3Char"/>
    <w:qFormat/>
    <w:rsid w:val="004D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31A2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E31A2"/>
    <w:pPr>
      <w:ind w:firstLine="851"/>
      <w:jc w:val="both"/>
    </w:pPr>
    <w:rPr>
      <w:sz w:val="24"/>
    </w:rPr>
  </w:style>
  <w:style w:type="paragraph" w:styleId="Zhlav">
    <w:name w:val="header"/>
    <w:basedOn w:val="Normln"/>
    <w:rsid w:val="009E31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1A2"/>
  </w:style>
  <w:style w:type="paragraph" w:styleId="Zpat">
    <w:name w:val="footer"/>
    <w:basedOn w:val="Normln"/>
    <w:rsid w:val="009E31A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31A2"/>
    <w:rPr>
      <w:sz w:val="24"/>
    </w:rPr>
  </w:style>
  <w:style w:type="paragraph" w:styleId="Nzev">
    <w:name w:val="Title"/>
    <w:basedOn w:val="Normln"/>
    <w:qFormat/>
    <w:rsid w:val="009E31A2"/>
    <w:pPr>
      <w:jc w:val="center"/>
    </w:pPr>
    <w:rPr>
      <w:b/>
      <w:sz w:val="36"/>
    </w:rPr>
  </w:style>
  <w:style w:type="paragraph" w:customStyle="1" w:styleId="Norma">
    <w:name w:val="Norma"/>
    <w:basedOn w:val="Normln"/>
    <w:rsid w:val="009E31A2"/>
    <w:rPr>
      <w:rFonts w:ascii="FusionEE" w:hAnsi="FusionEE"/>
    </w:rPr>
  </w:style>
  <w:style w:type="paragraph" w:customStyle="1" w:styleId="Normln0">
    <w:name w:val="Normln"/>
    <w:rsid w:val="009E31A2"/>
    <w:rPr>
      <w:rFonts w:ascii="MS Sans Serif" w:hAnsi="MS Sans Serif"/>
      <w:snapToGrid w:val="0"/>
      <w:sz w:val="24"/>
    </w:rPr>
  </w:style>
  <w:style w:type="paragraph" w:styleId="Seznam">
    <w:name w:val="List"/>
    <w:basedOn w:val="Normln"/>
    <w:link w:val="SeznamChar"/>
    <w:rsid w:val="009E31A2"/>
    <w:pPr>
      <w:ind w:left="283" w:hanging="283"/>
    </w:pPr>
  </w:style>
  <w:style w:type="character" w:customStyle="1" w:styleId="platne1">
    <w:name w:val="platne1"/>
    <w:basedOn w:val="Standardnpsmoodstavce"/>
    <w:rsid w:val="009E31A2"/>
  </w:style>
  <w:style w:type="paragraph" w:customStyle="1" w:styleId="Char3">
    <w:name w:val="Char3"/>
    <w:basedOn w:val="Normln"/>
    <w:rsid w:val="009E31A2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4D55D4"/>
  </w:style>
  <w:style w:type="character" w:customStyle="1" w:styleId="Nadpis3Char">
    <w:name w:val="Nadpis 3 Char"/>
    <w:link w:val="Nadpis3"/>
    <w:semiHidden/>
    <w:rsid w:val="004D55D4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4D5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D55D4"/>
    <w:rPr>
      <w:b/>
      <w:bCs/>
    </w:rPr>
  </w:style>
  <w:style w:type="character" w:customStyle="1" w:styleId="Nadpis7Char">
    <w:name w:val="Nadpis 7 Char"/>
    <w:link w:val="Nadpis7"/>
    <w:rsid w:val="00840120"/>
    <w:rPr>
      <w:rFonts w:ascii="Verdana" w:hAnsi="Verdana"/>
      <w:sz w:val="24"/>
    </w:rPr>
  </w:style>
  <w:style w:type="paragraph" w:styleId="Zkladntextodsazen">
    <w:name w:val="Body Text Indent"/>
    <w:basedOn w:val="Normln"/>
    <w:link w:val="ZkladntextodsazenChar"/>
    <w:rsid w:val="005113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113BF"/>
    <w:rPr>
      <w:rFonts w:ascii="Verdana" w:hAnsi="Verdana"/>
    </w:rPr>
  </w:style>
  <w:style w:type="paragraph" w:customStyle="1" w:styleId="Styl1">
    <w:name w:val="Styl1"/>
    <w:basedOn w:val="Seznam"/>
    <w:link w:val="Styl1Char"/>
    <w:qFormat/>
    <w:rsid w:val="005113BF"/>
    <w:pPr>
      <w:tabs>
        <w:tab w:val="num" w:pos="360"/>
      </w:tabs>
      <w:ind w:left="360" w:hanging="360"/>
      <w:jc w:val="both"/>
    </w:pPr>
  </w:style>
  <w:style w:type="character" w:styleId="Hypertextovodkaz">
    <w:name w:val="Hyperlink"/>
    <w:rsid w:val="004028E4"/>
    <w:rPr>
      <w:color w:val="0000FF"/>
      <w:u w:val="single"/>
    </w:rPr>
  </w:style>
  <w:style w:type="character" w:customStyle="1" w:styleId="SeznamChar">
    <w:name w:val="Seznam Char"/>
    <w:link w:val="Seznam"/>
    <w:rsid w:val="005113BF"/>
    <w:rPr>
      <w:rFonts w:ascii="Verdana" w:hAnsi="Verdana"/>
    </w:rPr>
  </w:style>
  <w:style w:type="character" w:customStyle="1" w:styleId="Styl1Char">
    <w:name w:val="Styl1 Char"/>
    <w:basedOn w:val="SeznamChar"/>
    <w:link w:val="Styl1"/>
    <w:rsid w:val="005113BF"/>
    <w:rPr>
      <w:rFonts w:ascii="Verdana" w:hAnsi="Verdana"/>
    </w:rPr>
  </w:style>
  <w:style w:type="paragraph" w:customStyle="1" w:styleId="Styl2">
    <w:name w:val="Styl2"/>
    <w:basedOn w:val="Seznam"/>
    <w:link w:val="Styl2Char"/>
    <w:qFormat/>
    <w:rsid w:val="004755D7"/>
    <w:pPr>
      <w:numPr>
        <w:numId w:val="1"/>
      </w:numPr>
      <w:spacing w:before="120"/>
      <w:ind w:left="357" w:hanging="357"/>
      <w:jc w:val="both"/>
    </w:pPr>
  </w:style>
  <w:style w:type="paragraph" w:customStyle="1" w:styleId="Tabulka">
    <w:name w:val="Tabulka"/>
    <w:basedOn w:val="Normln"/>
    <w:rsid w:val="0061357B"/>
    <w:rPr>
      <w:sz w:val="18"/>
      <w:szCs w:val="18"/>
    </w:rPr>
  </w:style>
  <w:style w:type="character" w:customStyle="1" w:styleId="Styl2Char">
    <w:name w:val="Styl2 Char"/>
    <w:link w:val="Styl2"/>
    <w:rsid w:val="004755D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lios.eu/feni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1 xmlns="c963d639-edbf-4073-9a2a-6c734af9a95a" xsi:nil="true"/>
    <IconOverlay xmlns="http://schemas.microsoft.com/sharepoint/v4" xsi:nil="true"/>
    <TaxKeywordTaxHTField xmlns="c963d639-edbf-4073-9a2a-6c734af9a95a">
      <Terms xmlns="http://schemas.microsoft.com/office/infopath/2007/PartnerControls"/>
    </TaxKeywordTaxHTField>
    <TaxCatchAll xmlns="c963d639-edbf-4073-9a2a-6c734af9a95a"/>
    <Year1 xmlns="c963d639-edbf-4073-9a2a-6c734af9a95a">2013</Year1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139335BCF6F45AF21C1EB53EA9D82" ma:contentTypeVersion="6" ma:contentTypeDescription="Create a new document." ma:contentTypeScope="" ma:versionID="cc109f69592a5ca6fc87aba5dce2961e">
  <xsd:schema xmlns:xsd="http://www.w3.org/2001/XMLSchema" xmlns:xs="http://www.w3.org/2001/XMLSchema" xmlns:p="http://schemas.microsoft.com/office/2006/metadata/properties" xmlns:ns2="c963d639-edbf-4073-9a2a-6c734af9a95a" xmlns:ns3="http://schemas.microsoft.com/sharepoint/v4" targetNamespace="http://schemas.microsoft.com/office/2006/metadata/properties" ma:root="true" ma:fieldsID="9eef7c608cd49b0a9b6c96be1589663f" ns2:_="" ns3:_="">
    <xsd:import namespace="c963d639-edbf-4073-9a2a-6c734af9a9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Year1" minOccurs="0"/>
                <xsd:element ref="ns2:Region1" minOccurs="0"/>
                <xsd:element ref="ns2:TaxKeywordTaxHTField" minOccurs="0"/>
                <xsd:element ref="ns2:TaxCatchAl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d639-edbf-4073-9a2a-6c734af9a9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Year1" ma:index="11" nillable="true" ma:displayName="Year" ma:default="2013" ma:format="Dropdown" ma:internalName="Year1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-"/>
        </xsd:restriction>
      </xsd:simpleType>
    </xsd:element>
    <xsd:element name="Region1" ma:index="12" nillable="true" ma:displayName="Region" ma:format="Dropdown" ma:internalName="Region1">
      <xsd:simpleType>
        <xsd:restriction base="dms:Choice">
          <xsd:enumeration value="CR"/>
          <xsd:enumeration value="SR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29594e8a-9ed8-4e86-9916-69d5b2475523}" ma:internalName="TaxCatchAll" ma:showField="CatchAllData" ma:web="c963d639-edbf-4073-9a2a-6c734af9a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F6565B-EB43-4B3A-ABE4-28E4D7878130}">
  <ds:schemaRefs>
    <ds:schemaRef ds:uri="http://schemas.microsoft.com/office/2006/metadata/properties"/>
    <ds:schemaRef ds:uri="http://schemas.microsoft.com/office/infopath/2007/PartnerControls"/>
    <ds:schemaRef ds:uri="c963d639-edbf-4073-9a2a-6c734af9a95a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171309E-8439-48B8-B211-530415F254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4AF184-432B-4E38-8B9A-13A407204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3d639-edbf-4073-9a2a-6c734af9a9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88F61-ABB1-41A6-9C54-81CD09F620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5B7F5B-BB60-4E65-88F9-91A51BF0BE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Asseco Czech Republic, a.s.</Company>
  <LinksUpToDate>false</LinksUpToDate>
  <CharactersWithSpaces>5587</CharactersWithSpaces>
  <SharedDoc>false</SharedDoc>
  <HLinks>
    <vt:vector size="6" baseType="variant"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http://www.helios.eu/fenix.html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vendula.mechurova</dc:creator>
  <cp:keywords/>
  <cp:lastModifiedBy>Pavlína Suchánková</cp:lastModifiedBy>
  <cp:revision>4</cp:revision>
  <dcterms:created xsi:type="dcterms:W3CDTF">2018-05-29T08:41:00Z</dcterms:created>
  <dcterms:modified xsi:type="dcterms:W3CDTF">2018-06-12T04:47:00Z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SharedFileIndex">
    <vt:lpwstr/>
  </property>
  <property fmtid="{D5CDD505-2E9C-101B-9397-08002B2CF9AE}" pid="8" name="TaxKeyword">
    <vt:lpwstr/>
  </property>
  <property fmtid="{D5CDD505-2E9C-101B-9397-08002B2CF9AE}" pid="9" name="_dlc_DocId">
    <vt:lpwstr>ASOLAND-188-296</vt:lpwstr>
  </property>
  <property fmtid="{D5CDD505-2E9C-101B-9397-08002B2CF9AE}" pid="10" name="_dlc_DocIdItemGuid">
    <vt:lpwstr>6d44f4c2-2655-49ee-b519-c674f433c662</vt:lpwstr>
  </property>
  <property fmtid="{D5CDD505-2E9C-101B-9397-08002B2CF9AE}" pid="11" name="_dlc_DocIdUrl">
    <vt:lpwstr>http://asoland.asol.local/products/Fenix/_layouts/DocIdRedir.aspx?ID=ASOLAND-188-296, ASOLAND-188-296</vt:lpwstr>
  </property>
</Properties>
</file>