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b/>
          <w:szCs w:val="24"/>
          <w:lang w:eastAsia="en-US"/>
        </w:rPr>
      </w:pPr>
      <w:bookmarkStart w:id="0" w:name="_GoBack"/>
      <w:bookmarkEnd w:id="0"/>
      <w:r w:rsidRPr="00046680">
        <w:rPr>
          <w:rFonts w:ascii="Arial" w:eastAsiaTheme="minorHAnsi" w:hAnsi="Arial" w:cs="Arial"/>
          <w:b/>
          <w:szCs w:val="24"/>
          <w:lang w:eastAsia="en-US"/>
        </w:rPr>
        <w:t xml:space="preserve">Dodatek č. </w:t>
      </w:r>
      <w:r w:rsidR="00944AAF">
        <w:rPr>
          <w:rFonts w:ascii="Arial" w:eastAsiaTheme="minorHAnsi" w:hAnsi="Arial" w:cs="Arial"/>
          <w:b/>
          <w:szCs w:val="24"/>
          <w:lang w:eastAsia="en-US"/>
        </w:rPr>
        <w:t>1</w:t>
      </w:r>
    </w:p>
    <w:p w:rsidR="00046680" w:rsidRP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 xml:space="preserve">ke Smlouvě </w:t>
      </w:r>
      <w:r w:rsidR="00867116">
        <w:rPr>
          <w:rFonts w:ascii="Arial" w:eastAsiaTheme="minorHAnsi" w:hAnsi="Arial" w:cs="Arial"/>
          <w:b/>
          <w:sz w:val="20"/>
          <w:lang w:eastAsia="en-US"/>
        </w:rPr>
        <w:t>č. 1606402B/4100048276 o zabezpečení služeb rozšířené technické podpory Oracle ACS – Advanced Customer Services</w:t>
      </w:r>
      <w:r w:rsidR="00585801" w:rsidRPr="00046680">
        <w:rPr>
          <w:rFonts w:ascii="Arial" w:eastAsiaTheme="minorHAnsi" w:hAnsi="Arial" w:cs="Arial"/>
          <w:b/>
          <w:sz w:val="20"/>
          <w:lang w:eastAsia="en-US"/>
        </w:rPr>
        <w:t xml:space="preserve"> uzavřené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dne </w:t>
      </w:r>
      <w:r w:rsidR="00867116">
        <w:rPr>
          <w:rFonts w:ascii="Arial" w:eastAsiaTheme="minorHAnsi" w:hAnsi="Arial" w:cs="Arial"/>
          <w:sz w:val="20"/>
          <w:lang w:eastAsia="en-US"/>
        </w:rPr>
        <w:t>31</w:t>
      </w:r>
      <w:r w:rsidR="00315C1D">
        <w:rPr>
          <w:rFonts w:ascii="Arial" w:eastAsiaTheme="minorHAnsi" w:hAnsi="Arial" w:cs="Arial"/>
          <w:sz w:val="20"/>
          <w:lang w:eastAsia="en-US"/>
        </w:rPr>
        <w:t>.</w:t>
      </w:r>
      <w:r w:rsidR="006601A4">
        <w:rPr>
          <w:rFonts w:ascii="Arial" w:eastAsiaTheme="minorHAnsi" w:hAnsi="Arial" w:cs="Arial"/>
          <w:sz w:val="20"/>
          <w:lang w:eastAsia="en-US"/>
        </w:rPr>
        <w:t xml:space="preserve"> </w:t>
      </w:r>
      <w:r w:rsidR="00867116">
        <w:rPr>
          <w:rFonts w:ascii="Arial" w:eastAsiaTheme="minorHAnsi" w:hAnsi="Arial" w:cs="Arial"/>
          <w:sz w:val="20"/>
          <w:lang w:eastAsia="en-US"/>
        </w:rPr>
        <w:t>8</w:t>
      </w:r>
      <w:r w:rsidR="00315C1D">
        <w:rPr>
          <w:rFonts w:ascii="Arial" w:eastAsiaTheme="minorHAnsi" w:hAnsi="Arial" w:cs="Arial"/>
          <w:sz w:val="20"/>
          <w:lang w:eastAsia="en-US"/>
        </w:rPr>
        <w:t>.</w:t>
      </w:r>
      <w:r w:rsidR="006601A4">
        <w:rPr>
          <w:rFonts w:ascii="Arial" w:eastAsiaTheme="minorHAnsi" w:hAnsi="Arial" w:cs="Arial"/>
          <w:sz w:val="20"/>
          <w:lang w:eastAsia="en-US"/>
        </w:rPr>
        <w:t xml:space="preserve"> </w:t>
      </w:r>
      <w:r w:rsidR="00315C1D">
        <w:rPr>
          <w:rFonts w:ascii="Arial" w:eastAsiaTheme="minorHAnsi" w:hAnsi="Arial" w:cs="Arial"/>
          <w:sz w:val="20"/>
          <w:lang w:eastAsia="en-US"/>
        </w:rPr>
        <w:t>2017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mezi níže uvedenými smluvními stranami</w:t>
      </w:r>
    </w:p>
    <w:p w:rsidR="00046680" w:rsidRPr="00046680" w:rsidRDefault="00046680" w:rsidP="009948BE">
      <w:pPr>
        <w:spacing w:after="20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 xml:space="preserve">(dále jen „Smlouva” a „Dodatek č. </w:t>
      </w:r>
      <w:r w:rsidR="00867116">
        <w:rPr>
          <w:rFonts w:ascii="Arial" w:eastAsiaTheme="minorHAnsi" w:hAnsi="Arial" w:cs="Arial"/>
          <w:sz w:val="20"/>
          <w:lang w:eastAsia="en-US"/>
        </w:rPr>
        <w:t>1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:rsidR="00046680" w:rsidRPr="00046680" w:rsidRDefault="00046680" w:rsidP="00046680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  <w:r w:rsidRPr="00046680">
        <w:rPr>
          <w:rFonts w:ascii="Arial" w:eastAsia="Calibri" w:hAnsi="Arial" w:cs="Arial"/>
          <w:b/>
          <w:sz w:val="20"/>
          <w:lang w:eastAsia="en-US"/>
        </w:rPr>
        <w:t>Smluvní strany:</w:t>
      </w:r>
    </w:p>
    <w:p w:rsidR="00046680" w:rsidRPr="00046680" w:rsidRDefault="00046680" w:rsidP="00046680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Všeobecná zdravotní pojišťovna České republiky</w:t>
      </w:r>
      <w:r w:rsidRPr="00046680">
        <w:rPr>
          <w:rFonts w:ascii="Arial" w:eastAsiaTheme="minorHAnsi" w:hAnsi="Arial" w:cs="Arial"/>
          <w:sz w:val="20"/>
          <w:lang w:eastAsia="en-US"/>
        </w:rPr>
        <w:br/>
      </w:r>
      <w:r w:rsidRPr="00046680">
        <w:rPr>
          <w:rFonts w:ascii="Arial" w:eastAsia="Calibri" w:hAnsi="Arial" w:cs="Arial"/>
          <w:sz w:val="20"/>
          <w:lang w:eastAsia="en-US"/>
        </w:rPr>
        <w:t xml:space="preserve">se sídlem: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 xml:space="preserve">Orlická </w:t>
      </w:r>
      <w:r w:rsidR="00770505">
        <w:rPr>
          <w:rFonts w:ascii="Arial" w:eastAsia="Calibri" w:hAnsi="Arial" w:cs="Arial"/>
          <w:sz w:val="20"/>
          <w:lang w:eastAsia="en-US"/>
        </w:rPr>
        <w:t>2020/</w:t>
      </w:r>
      <w:r w:rsidRPr="00046680">
        <w:rPr>
          <w:rFonts w:ascii="Arial" w:eastAsia="Calibri" w:hAnsi="Arial" w:cs="Arial"/>
          <w:sz w:val="20"/>
          <w:lang w:eastAsia="en-US"/>
        </w:rPr>
        <w:t>4, 130 00 Praha 3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kterou zastupuje: </w:t>
      </w:r>
      <w:r w:rsidRPr="00046680">
        <w:rPr>
          <w:rFonts w:ascii="Arial" w:eastAsia="Calibri" w:hAnsi="Arial" w:cs="Arial"/>
          <w:sz w:val="20"/>
          <w:lang w:eastAsia="en-US"/>
        </w:rPr>
        <w:tab/>
        <w:t>Ing. Zdeněk Kabátek, ředitel VZP ČR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IČO: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41197518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DIČ: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CZ41197518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8C38E0">
        <w:rPr>
          <w:rFonts w:ascii="Arial" w:eastAsia="Calibri" w:hAnsi="Arial" w:cs="Arial"/>
          <w:sz w:val="20"/>
          <w:lang w:eastAsia="en-US"/>
        </w:rPr>
        <w:t>xxxxxxxxx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číslo účtu: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8C38E0">
        <w:rPr>
          <w:rFonts w:ascii="Arial" w:eastAsia="Calibri" w:hAnsi="Arial" w:cs="Arial"/>
          <w:sz w:val="20"/>
          <w:lang w:eastAsia="en-US"/>
        </w:rPr>
        <w:t>xxxxxxxxx</w:t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zřízena zákonem č. 551/1991 Sb., o Všeobecné zdravotní pojišťovně České republiky, ve znění pozdějších předpisů</w:t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770505">
        <w:rPr>
          <w:rFonts w:ascii="Arial" w:eastAsiaTheme="minorHAnsi" w:hAnsi="Arial" w:cs="Arial"/>
          <w:sz w:val="20"/>
          <w:lang w:eastAsia="en-US"/>
        </w:rPr>
        <w:t>Objednatel“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nebo „</w:t>
      </w:r>
      <w:r w:rsidR="00770505">
        <w:rPr>
          <w:rFonts w:ascii="Arial" w:eastAsiaTheme="minorHAnsi" w:hAnsi="Arial" w:cs="Arial"/>
          <w:sz w:val="20"/>
          <w:lang w:eastAsia="en-US"/>
        </w:rPr>
        <w:t>VZP ČR“)</w:t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a</w:t>
      </w:r>
    </w:p>
    <w:p w:rsidR="00046680" w:rsidRPr="00046680" w:rsidRDefault="00867116" w:rsidP="00046680">
      <w:pPr>
        <w:spacing w:after="120" w:line="276" w:lineRule="auto"/>
        <w:contextualSpacing/>
        <w:jc w:val="left"/>
        <w:rPr>
          <w:rFonts w:ascii="Arial" w:eastAsia="Calibri" w:hAnsi="Arial" w:cs="Arial"/>
          <w:b/>
          <w:sz w:val="20"/>
          <w:lang w:eastAsia="en-US"/>
        </w:rPr>
      </w:pPr>
      <w:r>
        <w:rPr>
          <w:rFonts w:ascii="Arial" w:eastAsia="Calibri" w:hAnsi="Arial" w:cs="Arial"/>
          <w:b/>
          <w:sz w:val="20"/>
          <w:lang w:eastAsia="en-US"/>
        </w:rPr>
        <w:t>Neit Consulting s.r.o.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se sídlem: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867116">
        <w:rPr>
          <w:rFonts w:ascii="Arial" w:eastAsia="Calibri" w:hAnsi="Arial" w:cs="Arial"/>
          <w:sz w:val="20"/>
          <w:lang w:eastAsia="en-US"/>
        </w:rPr>
        <w:t>Washingtonova 1624/5, Nové Město</w:t>
      </w:r>
      <w:r w:rsidR="00AE19C7">
        <w:rPr>
          <w:rFonts w:ascii="Arial" w:eastAsia="Calibri" w:hAnsi="Arial" w:cs="Arial"/>
          <w:sz w:val="20"/>
          <w:lang w:eastAsia="en-US"/>
        </w:rPr>
        <w:t>,</w:t>
      </w:r>
      <w:r w:rsidR="00867116">
        <w:rPr>
          <w:rFonts w:ascii="Arial" w:eastAsia="Calibri" w:hAnsi="Arial" w:cs="Arial"/>
          <w:sz w:val="20"/>
          <w:lang w:eastAsia="en-US"/>
        </w:rPr>
        <w:t xml:space="preserve"> 110 00 Praha 1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kterou zastupuje: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867116">
        <w:rPr>
          <w:rFonts w:ascii="Arial" w:eastAsia="Calibri" w:hAnsi="Arial" w:cs="Arial"/>
          <w:sz w:val="20"/>
          <w:lang w:eastAsia="en-US"/>
        </w:rPr>
        <w:t>Ing. Radek Vojta</w:t>
      </w:r>
      <w:r w:rsidRPr="00046680">
        <w:rPr>
          <w:rFonts w:ascii="Arial" w:eastAsia="Calibri" w:hAnsi="Arial" w:cs="Arial"/>
          <w:sz w:val="20"/>
          <w:lang w:eastAsia="en-US"/>
        </w:rPr>
        <w:t>, jednatel společnosti</w:t>
      </w:r>
    </w:p>
    <w:p w:rsidR="007C3976" w:rsidRPr="00046680" w:rsidRDefault="007C3976" w:rsidP="007C3976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IČO: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>
        <w:rPr>
          <w:rFonts w:ascii="Arial" w:eastAsia="Calibri" w:hAnsi="Arial" w:cs="Arial"/>
          <w:sz w:val="20"/>
          <w:lang w:eastAsia="en-US"/>
        </w:rPr>
        <w:t>27369871</w:t>
      </w:r>
    </w:p>
    <w:p w:rsidR="007C3976" w:rsidRPr="00046680" w:rsidRDefault="007C3976" w:rsidP="007C3976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DIČ: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CZ</w:t>
      </w:r>
      <w:r>
        <w:rPr>
          <w:rFonts w:ascii="Arial" w:eastAsia="Calibri" w:hAnsi="Arial" w:cs="Arial"/>
          <w:sz w:val="20"/>
          <w:lang w:eastAsia="en-US"/>
        </w:rPr>
        <w:t>27369871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8C38E0">
        <w:rPr>
          <w:rFonts w:ascii="Arial" w:eastAsia="Calibri" w:hAnsi="Arial" w:cs="Arial"/>
          <w:sz w:val="20"/>
          <w:lang w:eastAsia="en-US"/>
        </w:rPr>
        <w:t>xxxxxxxxx</w:t>
      </w:r>
    </w:p>
    <w:p w:rsidR="00046680" w:rsidRPr="00046680" w:rsidRDefault="00612C1E" w:rsidP="00046680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>
        <w:rPr>
          <w:rFonts w:ascii="Arial" w:eastAsia="Calibri" w:hAnsi="Arial" w:cs="Arial"/>
          <w:sz w:val="20"/>
          <w:lang w:eastAsia="en-US"/>
        </w:rPr>
        <w:t>číslo účtu:</w:t>
      </w:r>
      <w:r>
        <w:rPr>
          <w:rFonts w:ascii="Arial" w:eastAsia="Calibri" w:hAnsi="Arial" w:cs="Arial"/>
          <w:sz w:val="20"/>
          <w:lang w:eastAsia="en-US"/>
        </w:rPr>
        <w:tab/>
      </w:r>
      <w:r>
        <w:rPr>
          <w:rFonts w:ascii="Arial" w:eastAsia="Calibri" w:hAnsi="Arial" w:cs="Arial"/>
          <w:sz w:val="20"/>
          <w:lang w:eastAsia="en-US"/>
        </w:rPr>
        <w:tab/>
      </w:r>
      <w:r w:rsidR="008C38E0">
        <w:rPr>
          <w:rFonts w:ascii="Arial" w:eastAsia="Calibri" w:hAnsi="Arial" w:cs="Arial"/>
          <w:sz w:val="20"/>
          <w:lang w:eastAsia="en-US"/>
        </w:rPr>
        <w:t>xxxxxxxxx</w:t>
      </w:r>
    </w:p>
    <w:p w:rsidR="00046680" w:rsidRPr="00046680" w:rsidRDefault="00046680" w:rsidP="00046680">
      <w:pPr>
        <w:spacing w:after="120" w:line="276" w:lineRule="auto"/>
        <w:contextualSpacing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zapsaná v obchodním rejstříku vedeném Městským soudem v Praze, oddíl C, vložka </w:t>
      </w:r>
      <w:r w:rsidR="00315C1D">
        <w:rPr>
          <w:rFonts w:ascii="Arial" w:eastAsia="Calibri" w:hAnsi="Arial" w:cs="Arial"/>
          <w:sz w:val="20"/>
          <w:lang w:eastAsia="en-US"/>
        </w:rPr>
        <w:t>1</w:t>
      </w:r>
      <w:r w:rsidR="00867116">
        <w:rPr>
          <w:rFonts w:ascii="Arial" w:eastAsia="Calibri" w:hAnsi="Arial" w:cs="Arial"/>
          <w:sz w:val="20"/>
          <w:lang w:eastAsia="en-US"/>
        </w:rPr>
        <w:t>08964</w:t>
      </w:r>
      <w:r w:rsidRPr="00046680">
        <w:rPr>
          <w:rFonts w:ascii="Arial" w:eastAsia="Calibri" w:hAnsi="Arial" w:cs="Arial"/>
          <w:sz w:val="20"/>
          <w:lang w:eastAsia="en-US"/>
        </w:rPr>
        <w:br/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C3494F">
        <w:rPr>
          <w:rFonts w:ascii="Arial" w:eastAsiaTheme="minorHAnsi" w:hAnsi="Arial" w:cs="Arial"/>
          <w:b/>
          <w:sz w:val="20"/>
          <w:lang w:eastAsia="en-US"/>
        </w:rPr>
        <w:t>Poskytovatel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(společně též „</w:t>
      </w:r>
      <w:r w:rsidR="00236283">
        <w:rPr>
          <w:rFonts w:ascii="Arial" w:eastAsiaTheme="minorHAnsi" w:hAnsi="Arial" w:cs="Arial"/>
          <w:b/>
          <w:sz w:val="20"/>
          <w:lang w:eastAsia="en-US"/>
        </w:rPr>
        <w:t>S</w:t>
      </w:r>
      <w:r w:rsidRPr="00046680">
        <w:rPr>
          <w:rFonts w:ascii="Arial" w:eastAsiaTheme="minorHAnsi" w:hAnsi="Arial" w:cs="Arial"/>
          <w:b/>
          <w:sz w:val="20"/>
          <w:lang w:eastAsia="en-US"/>
        </w:rPr>
        <w:t>mluvní strany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:rsidR="00046680" w:rsidRPr="00046680" w:rsidRDefault="00046680" w:rsidP="00046680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Preambule</w:t>
      </w:r>
    </w:p>
    <w:p w:rsidR="00046680" w:rsidRPr="00046680" w:rsidRDefault="00046680" w:rsidP="00046680">
      <w:pPr>
        <w:suppressAutoHyphens/>
        <w:spacing w:after="200" w:line="276" w:lineRule="auto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 xml:space="preserve">Předmětná Smlouva byla uzavřena mezi výše uvedenými </w:t>
      </w:r>
      <w:r w:rsidR="00770505">
        <w:rPr>
          <w:rFonts w:ascii="Arial" w:eastAsiaTheme="minorHAnsi" w:hAnsi="Arial" w:cs="Arial"/>
          <w:sz w:val="20"/>
          <w:lang w:eastAsia="en-US"/>
        </w:rPr>
        <w:t>s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mluvními stranami dne </w:t>
      </w:r>
      <w:r w:rsidR="00236283">
        <w:rPr>
          <w:rFonts w:ascii="Arial" w:eastAsiaTheme="minorHAnsi" w:hAnsi="Arial" w:cs="Arial"/>
          <w:sz w:val="20"/>
          <w:lang w:eastAsia="en-US"/>
        </w:rPr>
        <w:t>31</w:t>
      </w:r>
      <w:r w:rsidR="00315C1D">
        <w:rPr>
          <w:rFonts w:ascii="Arial" w:eastAsiaTheme="minorHAnsi" w:hAnsi="Arial" w:cs="Arial"/>
          <w:sz w:val="20"/>
          <w:lang w:eastAsia="en-US"/>
        </w:rPr>
        <w:t>.</w:t>
      </w:r>
      <w:r w:rsidR="00330E97">
        <w:rPr>
          <w:rFonts w:ascii="Arial" w:eastAsiaTheme="minorHAnsi" w:hAnsi="Arial" w:cs="Arial"/>
          <w:sz w:val="20"/>
          <w:lang w:eastAsia="en-US"/>
        </w:rPr>
        <w:t xml:space="preserve"> </w:t>
      </w:r>
      <w:r w:rsidR="00236283">
        <w:rPr>
          <w:rFonts w:ascii="Arial" w:eastAsiaTheme="minorHAnsi" w:hAnsi="Arial" w:cs="Arial"/>
          <w:sz w:val="20"/>
          <w:lang w:eastAsia="en-US"/>
        </w:rPr>
        <w:t>8</w:t>
      </w:r>
      <w:r w:rsidR="00315C1D">
        <w:rPr>
          <w:rFonts w:ascii="Arial" w:eastAsiaTheme="minorHAnsi" w:hAnsi="Arial" w:cs="Arial"/>
          <w:sz w:val="20"/>
          <w:lang w:eastAsia="en-US"/>
        </w:rPr>
        <w:t>.</w:t>
      </w:r>
      <w:r w:rsidR="00330E97">
        <w:rPr>
          <w:rFonts w:ascii="Arial" w:eastAsiaTheme="minorHAnsi" w:hAnsi="Arial" w:cs="Arial"/>
          <w:sz w:val="20"/>
          <w:lang w:eastAsia="en-US"/>
        </w:rPr>
        <w:t xml:space="preserve"> 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2017 s účinností </w:t>
      </w:r>
      <w:r w:rsidRPr="001F1155">
        <w:rPr>
          <w:rFonts w:ascii="Arial" w:eastAsiaTheme="minorHAnsi" w:hAnsi="Arial" w:cs="Arial"/>
          <w:sz w:val="20"/>
          <w:lang w:eastAsia="en-US"/>
        </w:rPr>
        <w:t xml:space="preserve">od </w:t>
      </w:r>
      <w:r w:rsidR="00315C1D" w:rsidRPr="001F1155">
        <w:rPr>
          <w:rFonts w:ascii="Arial" w:eastAsiaTheme="minorHAnsi" w:hAnsi="Arial" w:cs="Arial"/>
          <w:sz w:val="20"/>
          <w:lang w:eastAsia="en-US"/>
        </w:rPr>
        <w:t>1</w:t>
      </w:r>
      <w:r w:rsidRPr="001F1155">
        <w:rPr>
          <w:rFonts w:ascii="Arial" w:eastAsiaTheme="minorHAnsi" w:hAnsi="Arial" w:cs="Arial"/>
          <w:sz w:val="20"/>
          <w:lang w:eastAsia="en-US"/>
        </w:rPr>
        <w:t xml:space="preserve">. </w:t>
      </w:r>
      <w:r w:rsidR="001F1155" w:rsidRPr="001F1155">
        <w:rPr>
          <w:rFonts w:ascii="Arial" w:eastAsiaTheme="minorHAnsi" w:hAnsi="Arial" w:cs="Arial"/>
          <w:sz w:val="20"/>
          <w:lang w:eastAsia="en-US"/>
        </w:rPr>
        <w:t>11</w:t>
      </w:r>
      <w:r w:rsidRPr="001F1155">
        <w:rPr>
          <w:rFonts w:ascii="Arial" w:eastAsiaTheme="minorHAnsi" w:hAnsi="Arial" w:cs="Arial"/>
          <w:sz w:val="20"/>
          <w:lang w:eastAsia="en-US"/>
        </w:rPr>
        <w:t>. 2017,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a to</w:t>
      </w:r>
      <w:r w:rsidRPr="00046680">
        <w:rPr>
          <w:rFonts w:ascii="Arial" w:eastAsia="Calibri" w:hAnsi="Arial" w:cs="Arial"/>
          <w:sz w:val="20"/>
          <w:lang w:eastAsia="en-US"/>
        </w:rPr>
        <w:t xml:space="preserve"> na základě otevřeného zadávacího řízení na nadlimitní veřejnou zakázku s názvem „</w:t>
      </w:r>
      <w:r w:rsidR="00236283">
        <w:rPr>
          <w:rFonts w:ascii="Arial" w:eastAsia="Calibri" w:hAnsi="Arial" w:cs="Arial"/>
          <w:sz w:val="20"/>
          <w:lang w:eastAsia="en-US"/>
        </w:rPr>
        <w:t>Podpora programového vybavení ORACLE</w:t>
      </w:r>
      <w:r w:rsidRPr="00046680">
        <w:rPr>
          <w:rFonts w:ascii="Arial" w:eastAsia="Calibri" w:hAnsi="Arial" w:cs="Arial"/>
          <w:sz w:val="20"/>
          <w:lang w:eastAsia="en-US"/>
        </w:rPr>
        <w:t>“</w:t>
      </w:r>
      <w:r w:rsidR="00236283">
        <w:rPr>
          <w:rFonts w:ascii="Arial" w:eastAsia="Calibri" w:hAnsi="Arial" w:cs="Arial"/>
          <w:sz w:val="20"/>
          <w:lang w:eastAsia="en-US"/>
        </w:rPr>
        <w:t xml:space="preserve"> a to na část B</w:t>
      </w:r>
      <w:r w:rsidRPr="00046680">
        <w:rPr>
          <w:rFonts w:ascii="Arial" w:eastAsia="Calibri" w:hAnsi="Arial" w:cs="Arial"/>
          <w:sz w:val="20"/>
          <w:lang w:eastAsia="en-US"/>
        </w:rPr>
        <w:t xml:space="preserve">, evidovanou VZP ČR pod číslem </w:t>
      </w:r>
      <w:r w:rsidR="00770505">
        <w:rPr>
          <w:rFonts w:ascii="Arial" w:eastAsia="Calibri" w:hAnsi="Arial" w:cs="Arial"/>
          <w:sz w:val="20"/>
          <w:lang w:eastAsia="en-US"/>
        </w:rPr>
        <w:t xml:space="preserve">veřejné zakázky </w:t>
      </w:r>
      <w:r w:rsidR="00236283">
        <w:rPr>
          <w:rFonts w:ascii="Arial" w:eastAsia="Calibri" w:hAnsi="Arial" w:cs="Arial"/>
          <w:sz w:val="20"/>
          <w:lang w:eastAsia="en-US"/>
        </w:rPr>
        <w:t xml:space="preserve">1606402 </w:t>
      </w:r>
      <w:r w:rsidR="00236283" w:rsidRPr="00AE19C7">
        <w:rPr>
          <w:rFonts w:ascii="Arial" w:eastAsia="Calibri" w:hAnsi="Arial" w:cs="Arial"/>
          <w:sz w:val="20"/>
          <w:lang w:eastAsia="en-US"/>
        </w:rPr>
        <w:t>část B</w:t>
      </w:r>
      <w:r w:rsidRPr="00AE19C7">
        <w:rPr>
          <w:rFonts w:ascii="Arial" w:eastAsiaTheme="minorHAnsi" w:hAnsi="Arial" w:cs="Arial"/>
          <w:sz w:val="20"/>
          <w:lang w:eastAsia="en-US"/>
        </w:rPr>
        <w:t xml:space="preserve">. </w:t>
      </w:r>
      <w:r w:rsidR="00AE19C7" w:rsidRPr="00AE19C7">
        <w:rPr>
          <w:rFonts w:ascii="Arial" w:eastAsiaTheme="minorHAnsi" w:hAnsi="Arial" w:cs="Arial"/>
          <w:sz w:val="20"/>
          <w:lang w:eastAsia="en-US"/>
        </w:rPr>
        <w:t>Na základě ustanovení odst. 3</w:t>
      </w:r>
      <w:r w:rsidR="004B03B5" w:rsidRPr="00AE19C7">
        <w:rPr>
          <w:rFonts w:ascii="Arial" w:eastAsiaTheme="minorHAnsi" w:hAnsi="Arial" w:cs="Arial"/>
          <w:sz w:val="20"/>
          <w:lang w:eastAsia="en-US"/>
        </w:rPr>
        <w:t xml:space="preserve">. čl. X. </w:t>
      </w:r>
      <w:r w:rsidR="00F561C1" w:rsidRPr="00AE19C7">
        <w:rPr>
          <w:rFonts w:ascii="Arial" w:eastAsiaTheme="minorHAnsi" w:hAnsi="Arial" w:cs="Arial"/>
          <w:sz w:val="20"/>
          <w:lang w:eastAsia="en-US"/>
        </w:rPr>
        <w:t>Smlouvy</w:t>
      </w:r>
      <w:r w:rsidRPr="00AE19C7">
        <w:rPr>
          <w:rFonts w:ascii="Arial" w:eastAsia="Calibri" w:hAnsi="Arial" w:cs="Arial"/>
          <w:sz w:val="20"/>
          <w:lang w:eastAsia="en-US"/>
        </w:rPr>
        <w:t xml:space="preserve"> uzavírají </w:t>
      </w:r>
      <w:r w:rsidR="004B03B5" w:rsidRPr="00AE19C7">
        <w:rPr>
          <w:rFonts w:ascii="Arial" w:eastAsia="Calibri" w:hAnsi="Arial" w:cs="Arial"/>
          <w:sz w:val="20"/>
          <w:lang w:eastAsia="en-US"/>
        </w:rPr>
        <w:t>s</w:t>
      </w:r>
      <w:r w:rsidRPr="00AE19C7">
        <w:rPr>
          <w:rFonts w:ascii="Arial" w:eastAsia="Calibri" w:hAnsi="Arial" w:cs="Arial"/>
          <w:sz w:val="20"/>
          <w:lang w:eastAsia="en-US"/>
        </w:rPr>
        <w:t xml:space="preserve">mluvní strany ke Smlouvě tento Dodatek č. </w:t>
      </w:r>
      <w:r w:rsidR="00236283" w:rsidRPr="00AE19C7">
        <w:rPr>
          <w:rFonts w:ascii="Arial" w:eastAsia="Calibri" w:hAnsi="Arial" w:cs="Arial"/>
          <w:sz w:val="20"/>
          <w:lang w:eastAsia="en-US"/>
        </w:rPr>
        <w:t>1</w:t>
      </w:r>
      <w:r w:rsidRPr="00AE19C7">
        <w:rPr>
          <w:rFonts w:ascii="Arial" w:eastAsia="Calibri" w:hAnsi="Arial" w:cs="Arial"/>
          <w:sz w:val="20"/>
          <w:lang w:eastAsia="en-US"/>
        </w:rPr>
        <w:t>.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</w:t>
      </w:r>
    </w:p>
    <w:p w:rsidR="00046680" w:rsidRPr="00046680" w:rsidRDefault="00046680" w:rsidP="00046680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p w:rsidR="00046680" w:rsidRDefault="00046680" w:rsidP="00046680">
      <w:pPr>
        <w:numPr>
          <w:ilvl w:val="0"/>
          <w:numId w:val="33"/>
        </w:numPr>
        <w:spacing w:after="200"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Změna Smlouvy</w:t>
      </w:r>
    </w:p>
    <w:p w:rsidR="00046680" w:rsidRPr="00046680" w:rsidRDefault="00046680" w:rsidP="00046680">
      <w:pPr>
        <w:spacing w:after="200" w:line="276" w:lineRule="auto"/>
        <w:ind w:left="720"/>
        <w:contextualSpacing/>
        <w:rPr>
          <w:rFonts w:ascii="Arial" w:eastAsiaTheme="minorHAnsi" w:hAnsi="Arial" w:cs="Arial"/>
          <w:b/>
          <w:sz w:val="20"/>
          <w:lang w:eastAsia="en-US"/>
        </w:rPr>
      </w:pPr>
    </w:p>
    <w:p w:rsidR="00046680" w:rsidRDefault="004D3A94" w:rsidP="00867116">
      <w:pPr>
        <w:numPr>
          <w:ilvl w:val="0"/>
          <w:numId w:val="2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U o</w:t>
      </w:r>
      <w:r w:rsidR="00236283">
        <w:rPr>
          <w:rFonts w:ascii="Arial" w:eastAsiaTheme="minorHAnsi" w:hAnsi="Arial" w:cs="Arial"/>
          <w:sz w:val="20"/>
          <w:lang w:eastAsia="en-US"/>
        </w:rPr>
        <w:t xml:space="preserve">značení </w:t>
      </w:r>
      <w:r w:rsidR="00BD0991">
        <w:rPr>
          <w:rFonts w:ascii="Arial" w:eastAsiaTheme="minorHAnsi" w:hAnsi="Arial" w:cs="Arial"/>
          <w:sz w:val="20"/>
          <w:lang w:eastAsia="en-US"/>
        </w:rPr>
        <w:t>Poskytovatele</w:t>
      </w:r>
      <w:r>
        <w:rPr>
          <w:rFonts w:ascii="Arial" w:eastAsiaTheme="minorHAnsi" w:hAnsi="Arial" w:cs="Arial"/>
          <w:sz w:val="20"/>
          <w:lang w:eastAsia="en-US"/>
        </w:rPr>
        <w:t xml:space="preserve"> </w:t>
      </w:r>
      <w:r w:rsidR="00C02C0A">
        <w:rPr>
          <w:rFonts w:ascii="Arial" w:eastAsiaTheme="minorHAnsi" w:hAnsi="Arial" w:cs="Arial"/>
          <w:sz w:val="20"/>
          <w:lang w:eastAsia="en-US"/>
        </w:rPr>
        <w:t>v záhlaví smlouvy se</w:t>
      </w:r>
      <w:r>
        <w:rPr>
          <w:rFonts w:ascii="Arial" w:eastAsiaTheme="minorHAnsi" w:hAnsi="Arial" w:cs="Arial"/>
          <w:sz w:val="20"/>
          <w:lang w:eastAsia="en-US"/>
        </w:rPr>
        <w:t xml:space="preserve"> bankovní spojení a číslo</w:t>
      </w:r>
      <w:r w:rsidR="00C02C0A">
        <w:rPr>
          <w:rFonts w:ascii="Arial" w:eastAsiaTheme="minorHAnsi" w:hAnsi="Arial" w:cs="Arial"/>
          <w:sz w:val="20"/>
          <w:lang w:eastAsia="en-US"/>
        </w:rPr>
        <w:t xml:space="preserve"> účtu</w:t>
      </w:r>
      <w:r w:rsidR="00DD0B31">
        <w:rPr>
          <w:rFonts w:ascii="Arial" w:eastAsiaTheme="minorHAnsi" w:hAnsi="Arial" w:cs="Arial"/>
          <w:sz w:val="20"/>
          <w:lang w:eastAsia="en-US"/>
        </w:rPr>
        <w:t xml:space="preserve"> nahrazuje</w:t>
      </w:r>
      <w:r w:rsidR="00C02C0A">
        <w:rPr>
          <w:rFonts w:ascii="Arial" w:eastAsiaTheme="minorHAnsi" w:hAnsi="Arial" w:cs="Arial"/>
          <w:sz w:val="20"/>
          <w:lang w:eastAsia="en-US"/>
        </w:rPr>
        <w:t xml:space="preserve"> následujícím způsobem:</w:t>
      </w:r>
    </w:p>
    <w:p w:rsidR="00652049" w:rsidRPr="00DD1EB5" w:rsidRDefault="00652049" w:rsidP="009948BE">
      <w:pPr>
        <w:spacing w:after="120" w:line="276" w:lineRule="auto"/>
        <w:ind w:left="426"/>
        <w:contextualSpacing/>
        <w:jc w:val="left"/>
        <w:rPr>
          <w:rFonts w:ascii="Arial" w:eastAsia="Calibri" w:hAnsi="Arial" w:cs="Arial"/>
          <w:i/>
          <w:sz w:val="20"/>
          <w:lang w:eastAsia="en-US"/>
        </w:rPr>
      </w:pPr>
      <w:r w:rsidRPr="009948BE">
        <w:rPr>
          <w:rFonts w:ascii="Arial" w:eastAsia="Calibri" w:hAnsi="Arial" w:cs="Arial"/>
          <w:sz w:val="20"/>
          <w:lang w:eastAsia="en-US"/>
        </w:rPr>
        <w:t>bankovní spojení</w:t>
      </w:r>
      <w:r w:rsidRPr="00DD1EB5">
        <w:rPr>
          <w:rFonts w:ascii="Arial" w:eastAsia="Calibri" w:hAnsi="Arial" w:cs="Arial"/>
          <w:i/>
          <w:sz w:val="20"/>
          <w:lang w:eastAsia="en-US"/>
        </w:rPr>
        <w:t>:</w:t>
      </w:r>
      <w:r w:rsidRPr="00DD1EB5">
        <w:rPr>
          <w:rFonts w:ascii="Arial" w:eastAsia="Calibri" w:hAnsi="Arial" w:cs="Arial"/>
          <w:i/>
          <w:sz w:val="20"/>
          <w:lang w:eastAsia="en-US"/>
        </w:rPr>
        <w:tab/>
      </w:r>
      <w:r w:rsidR="008C38E0">
        <w:rPr>
          <w:rFonts w:ascii="Arial" w:eastAsia="Calibri" w:hAnsi="Arial" w:cs="Arial"/>
          <w:sz w:val="20"/>
          <w:lang w:eastAsia="en-US"/>
        </w:rPr>
        <w:t>xxxxxxxxx</w:t>
      </w:r>
      <w:r w:rsidR="008C38E0" w:rsidRPr="009948BE">
        <w:rPr>
          <w:rFonts w:ascii="Arial" w:eastAsia="Calibri" w:hAnsi="Arial" w:cs="Arial"/>
          <w:sz w:val="20"/>
          <w:lang w:eastAsia="en-US"/>
        </w:rPr>
        <w:t xml:space="preserve"> </w:t>
      </w:r>
      <w:r w:rsidR="00C02C0A" w:rsidRPr="009948BE">
        <w:rPr>
          <w:rFonts w:ascii="Arial" w:eastAsia="Calibri" w:hAnsi="Arial" w:cs="Arial"/>
          <w:sz w:val="20"/>
          <w:lang w:eastAsia="en-US"/>
        </w:rPr>
        <w:t>se nahrazuje:</w:t>
      </w:r>
      <w:r w:rsidR="00C02C0A">
        <w:rPr>
          <w:rFonts w:ascii="Arial" w:eastAsia="Calibri" w:hAnsi="Arial" w:cs="Arial"/>
          <w:i/>
          <w:sz w:val="20"/>
          <w:lang w:eastAsia="en-US"/>
        </w:rPr>
        <w:t xml:space="preserve">  </w:t>
      </w:r>
      <w:r w:rsidR="008C38E0">
        <w:rPr>
          <w:rFonts w:ascii="Arial" w:eastAsia="Calibri" w:hAnsi="Arial" w:cs="Arial"/>
          <w:sz w:val="20"/>
          <w:lang w:eastAsia="en-US"/>
        </w:rPr>
        <w:t>xxxxxxxxx</w:t>
      </w:r>
    </w:p>
    <w:p w:rsidR="00652049" w:rsidRDefault="00652049" w:rsidP="00652049">
      <w:pPr>
        <w:spacing w:after="120" w:line="276" w:lineRule="auto"/>
        <w:ind w:firstLine="426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9948BE">
        <w:rPr>
          <w:rFonts w:ascii="Arial" w:eastAsia="Calibri" w:hAnsi="Arial" w:cs="Arial"/>
          <w:sz w:val="20"/>
          <w:lang w:eastAsia="en-US"/>
        </w:rPr>
        <w:t>číslo účtu:</w:t>
      </w:r>
      <w:r w:rsidR="008C38E0" w:rsidRPr="008C38E0">
        <w:rPr>
          <w:rFonts w:ascii="Arial" w:eastAsia="Calibri" w:hAnsi="Arial" w:cs="Arial"/>
          <w:sz w:val="20"/>
          <w:lang w:eastAsia="en-US"/>
        </w:rPr>
        <w:t xml:space="preserve"> </w:t>
      </w:r>
      <w:r w:rsidR="008C38E0">
        <w:rPr>
          <w:rFonts w:ascii="Arial" w:eastAsia="Calibri" w:hAnsi="Arial" w:cs="Arial"/>
          <w:sz w:val="20"/>
          <w:lang w:eastAsia="en-US"/>
        </w:rPr>
        <w:t>xxxxxxxxx</w:t>
      </w:r>
      <w:r w:rsidR="008C38E0" w:rsidRPr="009948BE">
        <w:rPr>
          <w:rFonts w:ascii="Arial" w:eastAsia="Calibri" w:hAnsi="Arial" w:cs="Arial"/>
          <w:sz w:val="20"/>
          <w:lang w:eastAsia="en-US"/>
        </w:rPr>
        <w:t xml:space="preserve"> </w:t>
      </w:r>
      <w:r w:rsidR="00C02C0A" w:rsidRPr="009948BE">
        <w:rPr>
          <w:rFonts w:ascii="Arial" w:eastAsia="Calibri" w:hAnsi="Arial" w:cs="Arial"/>
          <w:sz w:val="20"/>
          <w:lang w:eastAsia="en-US"/>
        </w:rPr>
        <w:t>se nahrazuje</w:t>
      </w:r>
      <w:r w:rsidR="00C02C0A">
        <w:rPr>
          <w:rFonts w:ascii="Arial" w:eastAsia="Calibri" w:hAnsi="Arial" w:cs="Arial"/>
          <w:i/>
          <w:sz w:val="20"/>
          <w:lang w:eastAsia="en-US"/>
        </w:rPr>
        <w:t xml:space="preserve"> </w:t>
      </w:r>
      <w:r w:rsidR="008C38E0">
        <w:rPr>
          <w:rFonts w:ascii="Arial" w:eastAsia="Calibri" w:hAnsi="Arial" w:cs="Arial"/>
          <w:sz w:val="20"/>
          <w:lang w:eastAsia="en-US"/>
        </w:rPr>
        <w:t>xxxxxxxxx</w:t>
      </w:r>
    </w:p>
    <w:p w:rsidR="008C38E0" w:rsidRPr="00DD1EB5" w:rsidRDefault="008C38E0" w:rsidP="00652049">
      <w:pPr>
        <w:spacing w:after="120" w:line="276" w:lineRule="auto"/>
        <w:ind w:firstLine="426"/>
        <w:contextualSpacing/>
        <w:jc w:val="left"/>
        <w:rPr>
          <w:rFonts w:ascii="Arial" w:eastAsia="Calibri" w:hAnsi="Arial" w:cs="Arial"/>
          <w:i/>
          <w:sz w:val="20"/>
          <w:lang w:eastAsia="en-US"/>
        </w:rPr>
      </w:pPr>
    </w:p>
    <w:p w:rsidR="00236283" w:rsidRPr="00046680" w:rsidRDefault="00DD0B31" w:rsidP="009948BE">
      <w:pPr>
        <w:numPr>
          <w:ilvl w:val="0"/>
          <w:numId w:val="2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lastRenderedPageBreak/>
        <w:t>V ostatním zůstává označení Poskytovatele beze změn.</w:t>
      </w:r>
    </w:p>
    <w:p w:rsidR="00046680" w:rsidRDefault="00046680" w:rsidP="00167989">
      <w:pPr>
        <w:numPr>
          <w:ilvl w:val="0"/>
          <w:numId w:val="33"/>
        </w:numPr>
        <w:spacing w:after="120" w:line="276" w:lineRule="auto"/>
        <w:ind w:left="714" w:hanging="357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Závěrečná ujednání</w:t>
      </w:r>
    </w:p>
    <w:p w:rsidR="00867116" w:rsidRDefault="00867116" w:rsidP="007C3976">
      <w:pPr>
        <w:spacing w:after="120" w:line="276" w:lineRule="auto"/>
        <w:contextualSpacing/>
        <w:rPr>
          <w:rFonts w:ascii="Arial" w:eastAsiaTheme="minorHAnsi" w:hAnsi="Arial" w:cs="Arial"/>
          <w:b/>
          <w:sz w:val="20"/>
          <w:lang w:eastAsia="en-US"/>
        </w:rPr>
      </w:pPr>
    </w:p>
    <w:p w:rsidR="00046680" w:rsidRPr="00046680" w:rsidRDefault="00046680" w:rsidP="00046680">
      <w:pPr>
        <w:pStyle w:val="Odrazkac"/>
        <w:numPr>
          <w:ilvl w:val="0"/>
          <w:numId w:val="35"/>
        </w:numPr>
        <w:spacing w:after="120" w:line="276" w:lineRule="auto"/>
        <w:rPr>
          <w:rFonts w:ascii="Arial" w:hAnsi="Arial" w:cs="Arial"/>
          <w:sz w:val="20"/>
        </w:rPr>
      </w:pPr>
      <w:r w:rsidRPr="00046680">
        <w:rPr>
          <w:rFonts w:ascii="Arial" w:hAnsi="Arial" w:cs="Arial"/>
          <w:sz w:val="20"/>
        </w:rPr>
        <w:t xml:space="preserve">Tento Dodatek č. </w:t>
      </w:r>
      <w:r w:rsidR="00867116">
        <w:rPr>
          <w:rFonts w:ascii="Arial" w:hAnsi="Arial" w:cs="Arial"/>
          <w:sz w:val="20"/>
        </w:rPr>
        <w:t>1</w:t>
      </w:r>
      <w:r w:rsidRPr="00046680">
        <w:rPr>
          <w:rFonts w:ascii="Arial" w:hAnsi="Arial" w:cs="Arial"/>
          <w:sz w:val="20"/>
        </w:rPr>
        <w:t xml:space="preserve"> nabývá platnosti dnem podpisu poslední </w:t>
      </w:r>
      <w:r w:rsidR="004045B6">
        <w:rPr>
          <w:rFonts w:ascii="Arial" w:hAnsi="Arial" w:cs="Arial"/>
          <w:sz w:val="20"/>
        </w:rPr>
        <w:t>s</w:t>
      </w:r>
      <w:r w:rsidR="007C3976">
        <w:rPr>
          <w:rFonts w:ascii="Arial" w:hAnsi="Arial" w:cs="Arial"/>
          <w:sz w:val="20"/>
        </w:rPr>
        <w:t>mluvní stranou</w:t>
      </w:r>
      <w:r w:rsidR="00C02C0A">
        <w:rPr>
          <w:rFonts w:ascii="Arial" w:hAnsi="Arial" w:cs="Arial"/>
          <w:sz w:val="20"/>
        </w:rPr>
        <w:t xml:space="preserve"> a účinnosti dnem uveřejnění tohoto Dodatku č. 1 prostřednictvím registru smluv</w:t>
      </w:r>
      <w:r w:rsidR="007C3976">
        <w:rPr>
          <w:rFonts w:ascii="Arial" w:hAnsi="Arial" w:cs="Arial"/>
          <w:sz w:val="20"/>
        </w:rPr>
        <w:t>.</w:t>
      </w:r>
    </w:p>
    <w:p w:rsidR="000E0B54" w:rsidRDefault="00046680" w:rsidP="00046680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0E0B54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 w:rsidR="00867116">
        <w:rPr>
          <w:rFonts w:ascii="Arial" w:eastAsiaTheme="minorHAnsi" w:hAnsi="Arial" w:cs="Arial"/>
          <w:sz w:val="20"/>
          <w:lang w:eastAsia="en-US"/>
        </w:rPr>
        <w:t>1</w:t>
      </w:r>
      <w:r w:rsidRPr="000E0B54">
        <w:rPr>
          <w:rFonts w:ascii="Arial" w:eastAsiaTheme="minorHAnsi" w:hAnsi="Arial" w:cs="Arial"/>
          <w:sz w:val="20"/>
          <w:lang w:eastAsia="en-US"/>
        </w:rPr>
        <w:t xml:space="preserve"> se stává nedílnou součástí Smlouvy. Veškerá ujednání Smlouvy, která nejsou výslovně změněna tímto Dodatkem č</w:t>
      </w:r>
      <w:r w:rsidR="00FB6BD3">
        <w:rPr>
          <w:rFonts w:ascii="Arial" w:eastAsiaTheme="minorHAnsi" w:hAnsi="Arial" w:cs="Arial"/>
          <w:sz w:val="20"/>
          <w:lang w:eastAsia="en-US"/>
        </w:rPr>
        <w:t>.</w:t>
      </w:r>
      <w:r w:rsidR="00CE153A">
        <w:rPr>
          <w:rFonts w:ascii="Arial" w:eastAsiaTheme="minorHAnsi" w:hAnsi="Arial" w:cs="Arial"/>
          <w:sz w:val="20"/>
          <w:lang w:eastAsia="en-US"/>
        </w:rPr>
        <w:t xml:space="preserve"> </w:t>
      </w:r>
      <w:r w:rsidR="00867116">
        <w:rPr>
          <w:rFonts w:ascii="Arial" w:eastAsiaTheme="minorHAnsi" w:hAnsi="Arial" w:cs="Arial"/>
          <w:sz w:val="20"/>
          <w:lang w:eastAsia="en-US"/>
        </w:rPr>
        <w:t>1</w:t>
      </w:r>
      <w:r w:rsidRPr="000E0B54">
        <w:rPr>
          <w:rFonts w:ascii="Arial" w:eastAsiaTheme="minorHAnsi" w:hAnsi="Arial" w:cs="Arial"/>
          <w:sz w:val="20"/>
          <w:lang w:eastAsia="en-US"/>
        </w:rPr>
        <w:t>, zůstávají nadále platná a účinná</w:t>
      </w:r>
      <w:r w:rsidR="000E0B54">
        <w:rPr>
          <w:rFonts w:ascii="Arial" w:eastAsiaTheme="minorHAnsi" w:hAnsi="Arial" w:cs="Arial"/>
          <w:sz w:val="20"/>
          <w:lang w:eastAsia="en-US"/>
        </w:rPr>
        <w:t>.</w:t>
      </w:r>
      <w:r w:rsidRPr="000E0B54">
        <w:rPr>
          <w:rFonts w:ascii="Arial" w:eastAsiaTheme="minorHAnsi" w:hAnsi="Arial" w:cs="Arial"/>
          <w:sz w:val="20"/>
          <w:lang w:eastAsia="en-US"/>
        </w:rPr>
        <w:t xml:space="preserve"> </w:t>
      </w:r>
    </w:p>
    <w:p w:rsidR="00046680" w:rsidRPr="00867116" w:rsidRDefault="00046680" w:rsidP="00046680">
      <w:pPr>
        <w:numPr>
          <w:ilvl w:val="0"/>
          <w:numId w:val="2"/>
        </w:numPr>
        <w:spacing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867116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 w:rsidR="00867116" w:rsidRPr="00867116">
        <w:rPr>
          <w:rFonts w:ascii="Arial" w:eastAsiaTheme="minorHAnsi" w:hAnsi="Arial" w:cs="Arial"/>
          <w:sz w:val="20"/>
          <w:lang w:eastAsia="en-US"/>
        </w:rPr>
        <w:t>1</w:t>
      </w:r>
      <w:r w:rsidRPr="00867116">
        <w:rPr>
          <w:rFonts w:ascii="Arial" w:eastAsiaTheme="minorHAnsi" w:hAnsi="Arial" w:cs="Arial"/>
          <w:sz w:val="20"/>
          <w:lang w:eastAsia="en-US"/>
        </w:rPr>
        <w:t xml:space="preserve"> je vyhotoven ve čtyřech stejnopisech s platností originálu, z nichž každá </w:t>
      </w:r>
      <w:r w:rsidR="004045B6" w:rsidRPr="00867116">
        <w:rPr>
          <w:rFonts w:ascii="Arial" w:eastAsiaTheme="minorHAnsi" w:hAnsi="Arial" w:cs="Arial"/>
          <w:sz w:val="20"/>
          <w:lang w:eastAsia="en-US"/>
        </w:rPr>
        <w:t>s</w:t>
      </w:r>
      <w:r w:rsidRPr="00867116">
        <w:rPr>
          <w:rFonts w:ascii="Arial" w:eastAsiaTheme="minorHAnsi" w:hAnsi="Arial" w:cs="Arial"/>
          <w:sz w:val="20"/>
          <w:lang w:eastAsia="en-US"/>
        </w:rPr>
        <w:t>mluvní strana obdrží po dvou vyhotoveních.</w:t>
      </w:r>
      <w:r w:rsidR="009120A4" w:rsidRPr="00867116">
        <w:rPr>
          <w:rFonts w:ascii="Arial" w:eastAsiaTheme="minorHAnsi" w:hAnsi="Arial" w:cs="Arial"/>
          <w:sz w:val="20"/>
          <w:lang w:eastAsia="en-US"/>
        </w:rPr>
        <w:t xml:space="preserve"> </w:t>
      </w:r>
      <w:r w:rsidRPr="00867116">
        <w:rPr>
          <w:rFonts w:ascii="Arial" w:eastAsiaTheme="minorHAnsi" w:hAnsi="Arial" w:cs="Arial"/>
          <w:sz w:val="20"/>
          <w:lang w:eastAsia="en-US"/>
        </w:rPr>
        <w:t xml:space="preserve">Smluvní strany prohlašují, že si tento Dodatek č. </w:t>
      </w:r>
      <w:r w:rsidR="00867116">
        <w:rPr>
          <w:rFonts w:ascii="Arial" w:eastAsiaTheme="minorHAnsi" w:hAnsi="Arial" w:cs="Arial"/>
          <w:sz w:val="20"/>
          <w:lang w:eastAsia="en-US"/>
        </w:rPr>
        <w:t xml:space="preserve">1 </w:t>
      </w:r>
      <w:r w:rsidRPr="00867116">
        <w:rPr>
          <w:rFonts w:ascii="Arial" w:eastAsiaTheme="minorHAnsi" w:hAnsi="Arial" w:cs="Arial"/>
          <w:sz w:val="20"/>
          <w:lang w:eastAsia="en-US"/>
        </w:rPr>
        <w:t>řádně přečetly, s jeho zněním souhlasí a na důkaz toho připojují své podpisy.</w:t>
      </w:r>
    </w:p>
    <w:p w:rsidR="00C3494F" w:rsidRPr="00046680" w:rsidRDefault="00C3494F" w:rsidP="00AD5785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656"/>
        <w:gridCol w:w="2409"/>
        <w:gridCol w:w="3223"/>
      </w:tblGrid>
      <w:tr w:rsidR="00046680" w:rsidRPr="00046680" w:rsidTr="000578E3">
        <w:tc>
          <w:tcPr>
            <w:tcW w:w="1968" w:type="pct"/>
            <w:vAlign w:val="bottom"/>
          </w:tcPr>
          <w:p w:rsidR="00C91550" w:rsidRDefault="00C9155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:rsidR="00C91550" w:rsidRDefault="00C9155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:rsidR="00046680" w:rsidRPr="00046680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V Praze dne</w:t>
            </w:r>
            <w:r w:rsidR="008C38E0">
              <w:rPr>
                <w:rFonts w:ascii="Arial" w:eastAsiaTheme="minorHAnsi" w:hAnsi="Arial" w:cs="Arial"/>
                <w:sz w:val="20"/>
                <w:lang w:eastAsia="en-US"/>
              </w:rPr>
              <w:t xml:space="preserve"> 7. 6. 2018</w:t>
            </w:r>
          </w:p>
        </w:tc>
        <w:tc>
          <w:tcPr>
            <w:tcW w:w="1297" w:type="pct"/>
            <w:vAlign w:val="bottom"/>
          </w:tcPr>
          <w:p w:rsidR="00046680" w:rsidRPr="00046680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6" w:type="pct"/>
            <w:vAlign w:val="bottom"/>
          </w:tcPr>
          <w:p w:rsidR="00046680" w:rsidRPr="00046680" w:rsidRDefault="00046680" w:rsidP="008C38E0">
            <w:pPr>
              <w:spacing w:after="200" w:line="276" w:lineRule="auto"/>
              <w:jc w:val="left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V</w:t>
            </w:r>
            <w:r w:rsidR="008C38E0">
              <w:rPr>
                <w:rFonts w:ascii="Arial" w:hAnsi="Arial" w:cs="Arial"/>
                <w:sz w:val="20"/>
                <w:szCs w:val="22"/>
              </w:rPr>
              <w:t xml:space="preserve"> Praze </w:t>
            </w: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dne</w:t>
            </w:r>
            <w:r w:rsidR="008C38E0">
              <w:rPr>
                <w:rFonts w:ascii="Arial" w:eastAsiaTheme="minorHAnsi" w:hAnsi="Arial" w:cs="Arial"/>
                <w:sz w:val="20"/>
                <w:lang w:eastAsia="en-US"/>
              </w:rPr>
              <w:t xml:space="preserve"> 29. 5. 2018</w:t>
            </w:r>
          </w:p>
        </w:tc>
      </w:tr>
      <w:tr w:rsidR="00046680" w:rsidRPr="00046680" w:rsidTr="000578E3">
        <w:tc>
          <w:tcPr>
            <w:tcW w:w="1968" w:type="pct"/>
          </w:tcPr>
          <w:p w:rsidR="00046680" w:rsidRPr="00046680" w:rsidRDefault="00046680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t>Všeobecná zdravotní pojišťovna</w:t>
            </w: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br/>
              <w:t>České republiky</w:t>
            </w:r>
          </w:p>
        </w:tc>
        <w:tc>
          <w:tcPr>
            <w:tcW w:w="1297" w:type="pct"/>
          </w:tcPr>
          <w:p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6" w:type="pct"/>
          </w:tcPr>
          <w:p w:rsidR="00046680" w:rsidRPr="00046680" w:rsidRDefault="00867116" w:rsidP="00046680">
            <w:pPr>
              <w:spacing w:after="200" w:line="276" w:lineRule="auto"/>
              <w:jc w:val="left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lang w:eastAsia="en-US"/>
              </w:rPr>
              <w:t>Neit Consulting s.r.o.</w:t>
            </w:r>
          </w:p>
        </w:tc>
      </w:tr>
      <w:tr w:rsidR="00046680" w:rsidRPr="00046680" w:rsidTr="000578E3">
        <w:tc>
          <w:tcPr>
            <w:tcW w:w="1968" w:type="pct"/>
            <w:vAlign w:val="bottom"/>
          </w:tcPr>
          <w:p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297" w:type="pct"/>
            <w:vAlign w:val="bottom"/>
          </w:tcPr>
          <w:p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6" w:type="pct"/>
            <w:vAlign w:val="bottom"/>
          </w:tcPr>
          <w:p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046680" w:rsidRPr="00046680" w:rsidTr="000578E3">
        <w:tc>
          <w:tcPr>
            <w:tcW w:w="1968" w:type="pct"/>
          </w:tcPr>
          <w:p w:rsidR="00046680" w:rsidRPr="00046680" w:rsidRDefault="00046680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Ing. Zdeněk Kabátek</w:t>
            </w:r>
          </w:p>
          <w:p w:rsidR="00046680" w:rsidRPr="00046680" w:rsidRDefault="00046680" w:rsidP="0004668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ředitel VZP ČR</w:t>
            </w:r>
          </w:p>
        </w:tc>
        <w:tc>
          <w:tcPr>
            <w:tcW w:w="1297" w:type="pct"/>
          </w:tcPr>
          <w:p w:rsidR="00046680" w:rsidRPr="00046680" w:rsidRDefault="00046680" w:rsidP="00046680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6" w:type="pct"/>
          </w:tcPr>
          <w:p w:rsidR="00046680" w:rsidRDefault="008C38E0" w:rsidP="008C38E0">
            <w:pPr>
              <w:spacing w:after="200" w:line="276" w:lineRule="auto"/>
              <w:contextualSpacing/>
              <w:jc w:val="left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Ing. Radek Vojta</w:t>
            </w:r>
          </w:p>
          <w:p w:rsidR="008C38E0" w:rsidRPr="00046680" w:rsidRDefault="008C38E0" w:rsidP="008C38E0">
            <w:pPr>
              <w:spacing w:after="20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jednatel </w:t>
            </w:r>
          </w:p>
        </w:tc>
      </w:tr>
    </w:tbl>
    <w:p w:rsidR="006C518D" w:rsidRDefault="006C518D" w:rsidP="00046680">
      <w:pPr>
        <w:spacing w:after="200" w:line="276" w:lineRule="auto"/>
        <w:jc w:val="left"/>
        <w:rPr>
          <w:rFonts w:ascii="Calibri" w:hAnsi="Calibri"/>
        </w:rPr>
      </w:pPr>
    </w:p>
    <w:p w:rsidR="006C518D" w:rsidRPr="00BD4513" w:rsidRDefault="006C518D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sectPr w:rsidR="006C518D" w:rsidRPr="00BD4513" w:rsidSect="00585801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E59" w:rsidRDefault="00786E59" w:rsidP="00EA57EC">
      <w:r>
        <w:separator/>
      </w:r>
    </w:p>
  </w:endnote>
  <w:endnote w:type="continuationSeparator" w:id="0">
    <w:p w:rsidR="00786E59" w:rsidRDefault="00786E59" w:rsidP="00EA57EC">
      <w:r>
        <w:continuationSeparator/>
      </w:r>
    </w:p>
  </w:endnote>
  <w:endnote w:type="continuationNotice" w:id="1">
    <w:p w:rsidR="00786E59" w:rsidRDefault="00786E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2471494"/>
      <w:docPartObj>
        <w:docPartGallery w:val="Page Numbers (Bottom of Page)"/>
        <w:docPartUnique/>
      </w:docPartObj>
    </w:sdtPr>
    <w:sdtEndPr/>
    <w:sdtContent>
      <w:p w:rsidR="000578E3" w:rsidRDefault="000578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3DF3">
          <w:rPr>
            <w:noProof/>
          </w:rPr>
          <w:t>2</w:t>
        </w:r>
        <w:r>
          <w:fldChar w:fldCharType="end"/>
        </w:r>
      </w:p>
    </w:sdtContent>
  </w:sdt>
  <w:p w:rsidR="000578E3" w:rsidRDefault="000578E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E59" w:rsidRDefault="00786E59" w:rsidP="00EA57EC">
      <w:r>
        <w:separator/>
      </w:r>
    </w:p>
  </w:footnote>
  <w:footnote w:type="continuationSeparator" w:id="0">
    <w:p w:rsidR="00786E59" w:rsidRDefault="00786E59" w:rsidP="00EA57EC">
      <w:r>
        <w:continuationSeparator/>
      </w:r>
    </w:p>
  </w:footnote>
  <w:footnote w:type="continuationNotice" w:id="1">
    <w:p w:rsidR="00786E59" w:rsidRDefault="00786E5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91390"/>
    <w:multiLevelType w:val="hybridMultilevel"/>
    <w:tmpl w:val="1F6E09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06718"/>
    <w:multiLevelType w:val="hybridMultilevel"/>
    <w:tmpl w:val="25DE0D0E"/>
    <w:lvl w:ilvl="0" w:tplc="29DA0E38">
      <w:start w:val="1"/>
      <w:numFmt w:val="upperRoman"/>
      <w:lvlText w:val="%1."/>
      <w:lvlJc w:val="right"/>
      <w:pPr>
        <w:ind w:left="1080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03121F"/>
    <w:multiLevelType w:val="hybridMultilevel"/>
    <w:tmpl w:val="E962D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34191"/>
    <w:multiLevelType w:val="hybridMultilevel"/>
    <w:tmpl w:val="BF1C0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286CE8"/>
    <w:multiLevelType w:val="hybridMultilevel"/>
    <w:tmpl w:val="E6FE3C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73491"/>
    <w:multiLevelType w:val="hybridMultilevel"/>
    <w:tmpl w:val="DDA804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36E0B58"/>
    <w:multiLevelType w:val="hybridMultilevel"/>
    <w:tmpl w:val="DDBE5428"/>
    <w:lvl w:ilvl="0" w:tplc="F64E9138">
      <w:start w:val="1"/>
      <w:numFmt w:val="upperRoman"/>
      <w:pStyle w:val="Nadpis11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C6016E"/>
    <w:multiLevelType w:val="hybridMultilevel"/>
    <w:tmpl w:val="EE8AD8E8"/>
    <w:lvl w:ilvl="0" w:tplc="DA0EC58A">
      <w:start w:val="1"/>
      <w:numFmt w:val="decimal"/>
      <w:pStyle w:val="Odrazkac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78759BD"/>
    <w:multiLevelType w:val="hybridMultilevel"/>
    <w:tmpl w:val="336052B8"/>
    <w:lvl w:ilvl="0" w:tplc="507E720C">
      <w:start w:val="3"/>
      <w:numFmt w:val="upperRoman"/>
      <w:lvlText w:val="%1."/>
      <w:lvlJc w:val="left"/>
      <w:pPr>
        <w:ind w:left="4968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9">
    <w:nsid w:val="5B7C7710"/>
    <w:multiLevelType w:val="hybridMultilevel"/>
    <w:tmpl w:val="368AC100"/>
    <w:lvl w:ilvl="0" w:tplc="125213A0">
      <w:start w:val="2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5C7A077C"/>
    <w:multiLevelType w:val="multilevel"/>
    <w:tmpl w:val="486E347E"/>
    <w:lvl w:ilvl="0">
      <w:start w:val="1"/>
      <w:numFmt w:val="decimal"/>
      <w:pStyle w:val="Nadpis2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78"/>
        </w:tabs>
        <w:ind w:left="1078" w:hanging="936"/>
      </w:p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152" w:hanging="1152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656" w:hanging="1656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872" w:hanging="1872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088" w:hanging="2088"/>
      </w:p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304" w:hanging="2304"/>
      </w:pPr>
    </w:lvl>
  </w:abstractNum>
  <w:abstractNum w:abstractNumId="11">
    <w:nsid w:val="5DED245B"/>
    <w:multiLevelType w:val="hybridMultilevel"/>
    <w:tmpl w:val="CE4E2518"/>
    <w:lvl w:ilvl="0" w:tplc="8A567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DB31E9"/>
    <w:multiLevelType w:val="hybridMultilevel"/>
    <w:tmpl w:val="CBD8C3EE"/>
    <w:lvl w:ilvl="0" w:tplc="B63235A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DC066A"/>
    <w:multiLevelType w:val="hybridMultilevel"/>
    <w:tmpl w:val="7F903A06"/>
    <w:lvl w:ilvl="0" w:tplc="2444A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7725860"/>
    <w:multiLevelType w:val="hybridMultilevel"/>
    <w:tmpl w:val="69FEBF40"/>
    <w:lvl w:ilvl="0" w:tplc="9B2EB0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273D09"/>
    <w:multiLevelType w:val="hybridMultilevel"/>
    <w:tmpl w:val="37B6C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2A6120"/>
    <w:multiLevelType w:val="hybridMultilevel"/>
    <w:tmpl w:val="A32A10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B373E3"/>
    <w:multiLevelType w:val="hybridMultilevel"/>
    <w:tmpl w:val="EDB623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6"/>
  </w:num>
  <w:num w:numId="9">
    <w:abstractNumId w:val="11"/>
  </w:num>
  <w:num w:numId="10">
    <w:abstractNumId w:val="13"/>
  </w:num>
  <w:num w:numId="11">
    <w:abstractNumId w:val="6"/>
  </w:num>
  <w:num w:numId="12">
    <w:abstractNumId w:val="9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8"/>
  </w:num>
  <w:num w:numId="18">
    <w:abstractNumId w:val="3"/>
  </w:num>
  <w:num w:numId="19">
    <w:abstractNumId w:val="17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6"/>
  </w:num>
  <w:num w:numId="23">
    <w:abstractNumId w:val="7"/>
  </w:num>
  <w:num w:numId="24">
    <w:abstractNumId w:val="4"/>
  </w:num>
  <w:num w:numId="25">
    <w:abstractNumId w:val="7"/>
  </w:num>
  <w:num w:numId="26">
    <w:abstractNumId w:val="14"/>
  </w:num>
  <w:num w:numId="27">
    <w:abstractNumId w:val="7"/>
  </w:num>
  <w:num w:numId="28">
    <w:abstractNumId w:val="7"/>
  </w:num>
  <w:num w:numId="29">
    <w:abstractNumId w:val="6"/>
  </w:num>
  <w:num w:numId="30">
    <w:abstractNumId w:val="6"/>
  </w:num>
  <w:num w:numId="31">
    <w:abstractNumId w:val="7"/>
  </w:num>
  <w:num w:numId="32">
    <w:abstractNumId w:val="15"/>
  </w:num>
  <w:num w:numId="33">
    <w:abstractNumId w:val="0"/>
  </w:num>
  <w:num w:numId="34">
    <w:abstractNumId w:val="2"/>
  </w:num>
  <w:num w:numId="35">
    <w:abstractNumId w:val="7"/>
    <w:lvlOverride w:ilvl="0">
      <w:startOverride w:val="1"/>
    </w:lvlOverride>
  </w:num>
  <w:num w:numId="36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FAA"/>
    <w:rsid w:val="00000FAA"/>
    <w:rsid w:val="0000227E"/>
    <w:rsid w:val="000057ED"/>
    <w:rsid w:val="00015C2A"/>
    <w:rsid w:val="00016CEE"/>
    <w:rsid w:val="00016EE1"/>
    <w:rsid w:val="0002566D"/>
    <w:rsid w:val="00031DA4"/>
    <w:rsid w:val="000403BA"/>
    <w:rsid w:val="0004228B"/>
    <w:rsid w:val="00046680"/>
    <w:rsid w:val="000578E3"/>
    <w:rsid w:val="000759E3"/>
    <w:rsid w:val="0007773F"/>
    <w:rsid w:val="00080825"/>
    <w:rsid w:val="00086F33"/>
    <w:rsid w:val="000A0300"/>
    <w:rsid w:val="000A03EA"/>
    <w:rsid w:val="000B1069"/>
    <w:rsid w:val="000C5502"/>
    <w:rsid w:val="000E0B54"/>
    <w:rsid w:val="000E3DF3"/>
    <w:rsid w:val="000E3E6B"/>
    <w:rsid w:val="00103764"/>
    <w:rsid w:val="001071EB"/>
    <w:rsid w:val="001174E5"/>
    <w:rsid w:val="00121445"/>
    <w:rsid w:val="0012246C"/>
    <w:rsid w:val="0012715F"/>
    <w:rsid w:val="00154228"/>
    <w:rsid w:val="0015602B"/>
    <w:rsid w:val="00161B42"/>
    <w:rsid w:val="001649E8"/>
    <w:rsid w:val="00167989"/>
    <w:rsid w:val="00175B09"/>
    <w:rsid w:val="00184C35"/>
    <w:rsid w:val="00184D29"/>
    <w:rsid w:val="00190847"/>
    <w:rsid w:val="00197BD0"/>
    <w:rsid w:val="001A1ABC"/>
    <w:rsid w:val="001B09FA"/>
    <w:rsid w:val="001C426D"/>
    <w:rsid w:val="001D1476"/>
    <w:rsid w:val="001E00E3"/>
    <w:rsid w:val="001E0E35"/>
    <w:rsid w:val="001E1A4D"/>
    <w:rsid w:val="001E5F3C"/>
    <w:rsid w:val="001F1155"/>
    <w:rsid w:val="00202B7E"/>
    <w:rsid w:val="00203717"/>
    <w:rsid w:val="00214743"/>
    <w:rsid w:val="00220B75"/>
    <w:rsid w:val="00234697"/>
    <w:rsid w:val="00236283"/>
    <w:rsid w:val="00252893"/>
    <w:rsid w:val="00266996"/>
    <w:rsid w:val="00267500"/>
    <w:rsid w:val="00285F9D"/>
    <w:rsid w:val="00287B5F"/>
    <w:rsid w:val="00292810"/>
    <w:rsid w:val="002A0DCE"/>
    <w:rsid w:val="002A42FB"/>
    <w:rsid w:val="002A4DA4"/>
    <w:rsid w:val="002A6464"/>
    <w:rsid w:val="002B76D0"/>
    <w:rsid w:val="002D0356"/>
    <w:rsid w:val="002D0B74"/>
    <w:rsid w:val="002D175F"/>
    <w:rsid w:val="002D3024"/>
    <w:rsid w:val="002E0FF5"/>
    <w:rsid w:val="002E2EC3"/>
    <w:rsid w:val="002F50D0"/>
    <w:rsid w:val="002F7975"/>
    <w:rsid w:val="002F7FD7"/>
    <w:rsid w:val="00304F9F"/>
    <w:rsid w:val="00305A63"/>
    <w:rsid w:val="00310FBB"/>
    <w:rsid w:val="00315C1D"/>
    <w:rsid w:val="00316875"/>
    <w:rsid w:val="003229E6"/>
    <w:rsid w:val="00330B8E"/>
    <w:rsid w:val="00330E97"/>
    <w:rsid w:val="00332000"/>
    <w:rsid w:val="003353A1"/>
    <w:rsid w:val="003419E9"/>
    <w:rsid w:val="00357396"/>
    <w:rsid w:val="0036705F"/>
    <w:rsid w:val="00367416"/>
    <w:rsid w:val="00375B63"/>
    <w:rsid w:val="00375C7A"/>
    <w:rsid w:val="003975CB"/>
    <w:rsid w:val="003A154E"/>
    <w:rsid w:val="003A1F50"/>
    <w:rsid w:val="003A506B"/>
    <w:rsid w:val="003B15E7"/>
    <w:rsid w:val="003B5A90"/>
    <w:rsid w:val="003B7C66"/>
    <w:rsid w:val="003C47CD"/>
    <w:rsid w:val="003D1744"/>
    <w:rsid w:val="003D1798"/>
    <w:rsid w:val="003D2E14"/>
    <w:rsid w:val="003D5C0C"/>
    <w:rsid w:val="003E3B31"/>
    <w:rsid w:val="003F30DF"/>
    <w:rsid w:val="00402FE0"/>
    <w:rsid w:val="004045B6"/>
    <w:rsid w:val="00440539"/>
    <w:rsid w:val="00461407"/>
    <w:rsid w:val="0046691B"/>
    <w:rsid w:val="00476FFA"/>
    <w:rsid w:val="004820A4"/>
    <w:rsid w:val="0049324F"/>
    <w:rsid w:val="004A056D"/>
    <w:rsid w:val="004A23E2"/>
    <w:rsid w:val="004A27EA"/>
    <w:rsid w:val="004B03B5"/>
    <w:rsid w:val="004B7721"/>
    <w:rsid w:val="004D2CD4"/>
    <w:rsid w:val="004D3A94"/>
    <w:rsid w:val="004D57DD"/>
    <w:rsid w:val="005004C1"/>
    <w:rsid w:val="0050102A"/>
    <w:rsid w:val="0050344F"/>
    <w:rsid w:val="0050792B"/>
    <w:rsid w:val="0051142A"/>
    <w:rsid w:val="00514AD0"/>
    <w:rsid w:val="0054225F"/>
    <w:rsid w:val="00554F36"/>
    <w:rsid w:val="005776E8"/>
    <w:rsid w:val="00585801"/>
    <w:rsid w:val="00592902"/>
    <w:rsid w:val="005A25B2"/>
    <w:rsid w:val="005A52CF"/>
    <w:rsid w:val="005B2080"/>
    <w:rsid w:val="005B3671"/>
    <w:rsid w:val="005B5C57"/>
    <w:rsid w:val="005C0E5B"/>
    <w:rsid w:val="005D0F4F"/>
    <w:rsid w:val="005E0454"/>
    <w:rsid w:val="005E74CE"/>
    <w:rsid w:val="00607629"/>
    <w:rsid w:val="00612C1E"/>
    <w:rsid w:val="0061795B"/>
    <w:rsid w:val="00623698"/>
    <w:rsid w:val="00631602"/>
    <w:rsid w:val="0063530F"/>
    <w:rsid w:val="00646CA6"/>
    <w:rsid w:val="00652049"/>
    <w:rsid w:val="00655176"/>
    <w:rsid w:val="006601A4"/>
    <w:rsid w:val="00661B9A"/>
    <w:rsid w:val="0066362E"/>
    <w:rsid w:val="00665F76"/>
    <w:rsid w:val="006667B2"/>
    <w:rsid w:val="00686C84"/>
    <w:rsid w:val="00687B08"/>
    <w:rsid w:val="006A5A87"/>
    <w:rsid w:val="006B30C4"/>
    <w:rsid w:val="006B7436"/>
    <w:rsid w:val="006C518D"/>
    <w:rsid w:val="006D07F4"/>
    <w:rsid w:val="006E034E"/>
    <w:rsid w:val="006E3224"/>
    <w:rsid w:val="006E4200"/>
    <w:rsid w:val="006F0692"/>
    <w:rsid w:val="00711EDE"/>
    <w:rsid w:val="007170DF"/>
    <w:rsid w:val="0073385C"/>
    <w:rsid w:val="00747D88"/>
    <w:rsid w:val="00750139"/>
    <w:rsid w:val="0075261E"/>
    <w:rsid w:val="00756C93"/>
    <w:rsid w:val="00762D62"/>
    <w:rsid w:val="00770505"/>
    <w:rsid w:val="0077339B"/>
    <w:rsid w:val="00776D66"/>
    <w:rsid w:val="00781E00"/>
    <w:rsid w:val="00785615"/>
    <w:rsid w:val="00786E59"/>
    <w:rsid w:val="00795B80"/>
    <w:rsid w:val="007B4C6C"/>
    <w:rsid w:val="007C2E41"/>
    <w:rsid w:val="007C3976"/>
    <w:rsid w:val="007D085A"/>
    <w:rsid w:val="007F1FE6"/>
    <w:rsid w:val="007F3408"/>
    <w:rsid w:val="00804BAC"/>
    <w:rsid w:val="008050E9"/>
    <w:rsid w:val="008178DB"/>
    <w:rsid w:val="00840E6A"/>
    <w:rsid w:val="00846E0E"/>
    <w:rsid w:val="00847F72"/>
    <w:rsid w:val="00856BC7"/>
    <w:rsid w:val="0086084A"/>
    <w:rsid w:val="00867116"/>
    <w:rsid w:val="00872B4B"/>
    <w:rsid w:val="00880B00"/>
    <w:rsid w:val="008B0C34"/>
    <w:rsid w:val="008B23B1"/>
    <w:rsid w:val="008C352F"/>
    <w:rsid w:val="008C38E0"/>
    <w:rsid w:val="008C6CD1"/>
    <w:rsid w:val="008D2D45"/>
    <w:rsid w:val="008D6C9E"/>
    <w:rsid w:val="008F25AF"/>
    <w:rsid w:val="00903254"/>
    <w:rsid w:val="00903EC5"/>
    <w:rsid w:val="00911F03"/>
    <w:rsid w:val="009120A4"/>
    <w:rsid w:val="00912B92"/>
    <w:rsid w:val="00917EB5"/>
    <w:rsid w:val="00921964"/>
    <w:rsid w:val="00922718"/>
    <w:rsid w:val="00931C96"/>
    <w:rsid w:val="00937AE9"/>
    <w:rsid w:val="00944AAF"/>
    <w:rsid w:val="009451D2"/>
    <w:rsid w:val="00953B31"/>
    <w:rsid w:val="00961FC0"/>
    <w:rsid w:val="009769CB"/>
    <w:rsid w:val="009931A2"/>
    <w:rsid w:val="009948BE"/>
    <w:rsid w:val="009A57CB"/>
    <w:rsid w:val="009B360A"/>
    <w:rsid w:val="009B5BD7"/>
    <w:rsid w:val="009C2F24"/>
    <w:rsid w:val="009C5234"/>
    <w:rsid w:val="009C7718"/>
    <w:rsid w:val="009D000F"/>
    <w:rsid w:val="009D0BBB"/>
    <w:rsid w:val="009E455C"/>
    <w:rsid w:val="009E53D1"/>
    <w:rsid w:val="009E734C"/>
    <w:rsid w:val="00A11D6A"/>
    <w:rsid w:val="00A5085E"/>
    <w:rsid w:val="00A55DF0"/>
    <w:rsid w:val="00A608B6"/>
    <w:rsid w:val="00A622D5"/>
    <w:rsid w:val="00A757E1"/>
    <w:rsid w:val="00A76602"/>
    <w:rsid w:val="00A81828"/>
    <w:rsid w:val="00A84A10"/>
    <w:rsid w:val="00A95F9E"/>
    <w:rsid w:val="00AD4F28"/>
    <w:rsid w:val="00AD5785"/>
    <w:rsid w:val="00AD652E"/>
    <w:rsid w:val="00AE19C7"/>
    <w:rsid w:val="00AE2FAB"/>
    <w:rsid w:val="00AE6098"/>
    <w:rsid w:val="00B11451"/>
    <w:rsid w:val="00B1203C"/>
    <w:rsid w:val="00B25C3A"/>
    <w:rsid w:val="00B51BA5"/>
    <w:rsid w:val="00B52E4D"/>
    <w:rsid w:val="00B556B2"/>
    <w:rsid w:val="00B86FF8"/>
    <w:rsid w:val="00B96BCF"/>
    <w:rsid w:val="00BA0092"/>
    <w:rsid w:val="00BB0EEE"/>
    <w:rsid w:val="00BB509F"/>
    <w:rsid w:val="00BC2C08"/>
    <w:rsid w:val="00BC795D"/>
    <w:rsid w:val="00BD0991"/>
    <w:rsid w:val="00BD4513"/>
    <w:rsid w:val="00BD5A5D"/>
    <w:rsid w:val="00BE06AE"/>
    <w:rsid w:val="00BF2EE3"/>
    <w:rsid w:val="00C02527"/>
    <w:rsid w:val="00C026B0"/>
    <w:rsid w:val="00C02C0A"/>
    <w:rsid w:val="00C06AE4"/>
    <w:rsid w:val="00C07D2A"/>
    <w:rsid w:val="00C176F8"/>
    <w:rsid w:val="00C206BD"/>
    <w:rsid w:val="00C213DD"/>
    <w:rsid w:val="00C30016"/>
    <w:rsid w:val="00C33C7B"/>
    <w:rsid w:val="00C3405C"/>
    <w:rsid w:val="00C3494F"/>
    <w:rsid w:val="00C3556C"/>
    <w:rsid w:val="00C66692"/>
    <w:rsid w:val="00C7358E"/>
    <w:rsid w:val="00C829C4"/>
    <w:rsid w:val="00C861C1"/>
    <w:rsid w:val="00C91550"/>
    <w:rsid w:val="00C97FA5"/>
    <w:rsid w:val="00CA00DB"/>
    <w:rsid w:val="00CA24D8"/>
    <w:rsid w:val="00CA649C"/>
    <w:rsid w:val="00CD1793"/>
    <w:rsid w:val="00CD3B3A"/>
    <w:rsid w:val="00CD4F60"/>
    <w:rsid w:val="00CE153A"/>
    <w:rsid w:val="00CF204E"/>
    <w:rsid w:val="00CF2F21"/>
    <w:rsid w:val="00CF4C97"/>
    <w:rsid w:val="00D045BC"/>
    <w:rsid w:val="00D074FE"/>
    <w:rsid w:val="00D16252"/>
    <w:rsid w:val="00D1692C"/>
    <w:rsid w:val="00D22F89"/>
    <w:rsid w:val="00D33F1D"/>
    <w:rsid w:val="00D376E8"/>
    <w:rsid w:val="00D51952"/>
    <w:rsid w:val="00D62797"/>
    <w:rsid w:val="00D65B8E"/>
    <w:rsid w:val="00D7252B"/>
    <w:rsid w:val="00D74449"/>
    <w:rsid w:val="00D804D4"/>
    <w:rsid w:val="00D97548"/>
    <w:rsid w:val="00DB10C7"/>
    <w:rsid w:val="00DC4B46"/>
    <w:rsid w:val="00DD0B31"/>
    <w:rsid w:val="00DD1EB5"/>
    <w:rsid w:val="00DF5A0B"/>
    <w:rsid w:val="00E001D2"/>
    <w:rsid w:val="00E023EB"/>
    <w:rsid w:val="00E152A3"/>
    <w:rsid w:val="00E1615E"/>
    <w:rsid w:val="00E35724"/>
    <w:rsid w:val="00E375A3"/>
    <w:rsid w:val="00E40010"/>
    <w:rsid w:val="00E40617"/>
    <w:rsid w:val="00E442BA"/>
    <w:rsid w:val="00E4445C"/>
    <w:rsid w:val="00E44DE7"/>
    <w:rsid w:val="00E56757"/>
    <w:rsid w:val="00E602EE"/>
    <w:rsid w:val="00E71306"/>
    <w:rsid w:val="00E742ED"/>
    <w:rsid w:val="00E7453C"/>
    <w:rsid w:val="00E74D70"/>
    <w:rsid w:val="00E85768"/>
    <w:rsid w:val="00EA57EC"/>
    <w:rsid w:val="00EC4597"/>
    <w:rsid w:val="00ED2C31"/>
    <w:rsid w:val="00EF37A9"/>
    <w:rsid w:val="00F02075"/>
    <w:rsid w:val="00F0702D"/>
    <w:rsid w:val="00F07519"/>
    <w:rsid w:val="00F077F8"/>
    <w:rsid w:val="00F13A27"/>
    <w:rsid w:val="00F14FC6"/>
    <w:rsid w:val="00F219D3"/>
    <w:rsid w:val="00F2521D"/>
    <w:rsid w:val="00F3636C"/>
    <w:rsid w:val="00F370C8"/>
    <w:rsid w:val="00F433EF"/>
    <w:rsid w:val="00F52672"/>
    <w:rsid w:val="00F5447D"/>
    <w:rsid w:val="00F54551"/>
    <w:rsid w:val="00F561C1"/>
    <w:rsid w:val="00F57EE4"/>
    <w:rsid w:val="00F7701A"/>
    <w:rsid w:val="00F81937"/>
    <w:rsid w:val="00F919E8"/>
    <w:rsid w:val="00FB6BD3"/>
    <w:rsid w:val="00FD78D4"/>
    <w:rsid w:val="00FE274C"/>
    <w:rsid w:val="00FE5289"/>
    <w:rsid w:val="00FF1808"/>
    <w:rsid w:val="00FF1F43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3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numPr>
        <w:numId w:val="4"/>
      </w:numPr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99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3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numPr>
        <w:numId w:val="4"/>
      </w:numPr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99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ZP_WorkflowHistoryBoolean xmlns="5386a7db-36dc-47e8-aacb-0d5051febeea">true</VZP_WorkflowHistoryBoolea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58EDF2B3ED6243BB2AD3673F3B7728" ma:contentTypeVersion="14" ma:contentTypeDescription="Vytvořit nový dokument" ma:contentTypeScope="" ma:versionID="febc7e9efc03e39f0c14162b650ad903">
  <xsd:schema xmlns:xsd="http://www.w3.org/2001/XMLSchema" xmlns:xs="http://www.w3.org/2001/XMLSchema" xmlns:p="http://schemas.microsoft.com/office/2006/metadata/properties" xmlns:ns3="5386a7db-36dc-47e8-aacb-0d5051febeea" targetNamespace="http://schemas.microsoft.com/office/2006/metadata/properties" ma:root="true" ma:fieldsID="c8f702171bf82745fb289637b4c4e9bd" ns3:_="">
    <xsd:import namespace="5386a7db-36dc-47e8-aacb-0d5051febeea"/>
    <xsd:element name="properties">
      <xsd:complexType>
        <xsd:sequence>
          <xsd:element name="documentManagement">
            <xsd:complexType>
              <xsd:all>
                <xsd:element ref="ns3:VZP_Counter" minOccurs="0"/>
                <xsd:element ref="ns3:VZP_WorkflowHistoryBoole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6a7db-36dc-47e8-aacb-0d5051febeea" elementFormDefault="qualified">
    <xsd:import namespace="http://schemas.microsoft.com/office/2006/documentManagement/types"/>
    <xsd:import namespace="http://schemas.microsoft.com/office/infopath/2007/PartnerControls"/>
    <xsd:element name="VZP_Counter" ma:index="14" nillable="true" ma:displayName="Počítadlo přístupů" ma:default="0" ma:internalName="VZP_Counter" ma:readOnly="true">
      <xsd:simpleType>
        <xsd:restriction base="dms:Text"/>
      </xsd:simpleType>
    </xsd:element>
    <xsd:element name="VZP_WorkflowHistoryBoolean" ma:index="15" nillable="true" ma:displayName="Obsahuje položky historie" ma:default="0" ma:internalName="VZP_WorkflowHistoryBoolean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8E2D9-A675-4F00-8BBE-E8885C35AE02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5386a7db-36dc-47e8-aacb-0d5051febee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4FF92F2-B89B-4869-BF8F-50FC92B932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DFF365-82EE-49CB-98AA-FBCF0006B4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6a7db-36dc-47e8-aacb-0d5051feb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4E88A5-C337-4937-AAD5-84A5024094B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5748C73-C5DB-42D3-80CE-CE378C963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2154</Characters>
  <Application>Microsoft Office Word</Application>
  <DocSecurity>4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Vítková</dc:creator>
  <cp:lastModifiedBy>Marie Medlínová</cp:lastModifiedBy>
  <cp:revision>2</cp:revision>
  <cp:lastPrinted>2018-05-23T10:11:00Z</cp:lastPrinted>
  <dcterms:created xsi:type="dcterms:W3CDTF">2018-06-11T08:04:00Z</dcterms:created>
  <dcterms:modified xsi:type="dcterms:W3CDTF">2018-06-11T08:04:00Z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0x010100C558EDF2B3ED6243BB2AD3673F3B7728</vt:lpwstr>
  </property>
</Properties>
</file>