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82F" w:rsidRPr="00F1582F" w:rsidRDefault="00F1582F">
      <w:pPr>
        <w:pStyle w:val="Nadpis10"/>
        <w:keepNext/>
        <w:keepLines/>
        <w:shd w:val="clear" w:color="auto" w:fill="auto"/>
        <w:rPr>
          <w:b w:val="0"/>
          <w:noProof/>
          <w:sz w:val="18"/>
          <w:szCs w:val="18"/>
          <w:lang w:bidi="ar-SA"/>
        </w:rPr>
      </w:pPr>
      <w:r>
        <w:rPr>
          <w:noProof/>
          <w:sz w:val="22"/>
          <w:szCs w:val="22"/>
          <w:lang w:bidi="ar-SA"/>
        </w:rPr>
        <w:tab/>
      </w:r>
      <w:r>
        <w:rPr>
          <w:noProof/>
          <w:sz w:val="22"/>
          <w:szCs w:val="22"/>
          <w:lang w:bidi="ar-SA"/>
        </w:rPr>
        <w:tab/>
      </w:r>
      <w:r>
        <w:rPr>
          <w:noProof/>
          <w:sz w:val="22"/>
          <w:szCs w:val="22"/>
          <w:lang w:bidi="ar-SA"/>
        </w:rPr>
        <w:tab/>
      </w:r>
      <w:r>
        <w:rPr>
          <w:noProof/>
          <w:sz w:val="22"/>
          <w:szCs w:val="22"/>
          <w:lang w:bidi="ar-SA"/>
        </w:rPr>
        <w:tab/>
      </w:r>
      <w:r>
        <w:rPr>
          <w:noProof/>
          <w:sz w:val="22"/>
          <w:szCs w:val="22"/>
          <w:lang w:bidi="ar-SA"/>
        </w:rPr>
        <w:tab/>
      </w:r>
      <w:r>
        <w:rPr>
          <w:noProof/>
          <w:sz w:val="22"/>
          <w:szCs w:val="22"/>
          <w:lang w:bidi="ar-SA"/>
        </w:rPr>
        <w:tab/>
      </w:r>
      <w:r>
        <w:rPr>
          <w:noProof/>
          <w:sz w:val="22"/>
          <w:szCs w:val="22"/>
          <w:lang w:bidi="ar-SA"/>
        </w:rPr>
        <w:tab/>
      </w:r>
      <w:r>
        <w:rPr>
          <w:noProof/>
          <w:sz w:val="22"/>
          <w:szCs w:val="22"/>
          <w:lang w:bidi="ar-SA"/>
        </w:rPr>
        <w:tab/>
      </w:r>
      <w:r>
        <w:rPr>
          <w:noProof/>
          <w:sz w:val="22"/>
          <w:szCs w:val="22"/>
          <w:lang w:bidi="ar-SA"/>
        </w:rPr>
        <w:tab/>
        <w:t xml:space="preserve">           </w:t>
      </w:r>
      <w:r w:rsidRPr="00F1582F">
        <w:rPr>
          <w:b w:val="0"/>
          <w:noProof/>
          <w:sz w:val="18"/>
          <w:szCs w:val="18"/>
          <w:lang w:bidi="ar-SA"/>
        </w:rPr>
        <w:t>Č.j. NG 1006/2018</w:t>
      </w:r>
    </w:p>
    <w:p w:rsidR="0070294C" w:rsidRDefault="0029224A">
      <w:pPr>
        <w:pStyle w:val="Nadpis10"/>
        <w:keepNext/>
        <w:keepLines/>
        <w:shd w:val="clear" w:color="auto" w:fill="auto"/>
      </w:pPr>
      <w:r>
        <w:rPr>
          <w:noProof/>
          <w:lang w:bidi="ar-SA"/>
        </w:rPr>
        <mc:AlternateContent>
          <mc:Choice Requires="wps">
            <w:drawing>
              <wp:anchor distT="969010" distB="0" distL="114300" distR="321310" simplePos="0" relativeHeight="125829379" behindDoc="0" locked="0" layoutInCell="1" allowOverlap="1">
                <wp:simplePos x="0" y="0"/>
                <wp:positionH relativeFrom="page">
                  <wp:posOffset>5904865</wp:posOffset>
                </wp:positionH>
                <wp:positionV relativeFrom="paragraph">
                  <wp:posOffset>981710</wp:posOffset>
                </wp:positionV>
                <wp:extent cx="216535" cy="14033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216535" cy="140335"/>
                        </a:xfrm>
                        <a:prstGeom prst="rect">
                          <a:avLst/>
                        </a:prstGeom>
                        <a:noFill/>
                      </wps:spPr>
                      <wps:txbx>
                        <w:txbxContent>
                          <w:p w:rsidR="0070294C" w:rsidRDefault="0029224A">
                            <w:pPr>
                              <w:pStyle w:val="Zkladntext20"/>
                              <w:shd w:val="clear" w:color="auto" w:fill="auto"/>
                              <w:jc w:val="left"/>
                              <w:rPr>
                                <w:sz w:val="16"/>
                                <w:szCs w:val="16"/>
                              </w:rPr>
                            </w:pPr>
                            <w:r>
                              <w:rPr>
                                <w:sz w:val="16"/>
                                <w:szCs w:val="16"/>
                              </w:rPr>
                              <w:t>Ano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464.95pt;margin-top:77.3pt;width:17.05pt;height:11.05pt;z-index:125829379;visibility:visible;mso-wrap-style:square;mso-wrap-distance-left:9pt;mso-wrap-distance-top:76.3pt;mso-wrap-distance-right:25.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" filled="f" stroked="f">
                <v:textbox style="mso-fit-shape-to-text:t" inset="0,0,0,0">
                  <w:txbxContent>
                    <w:p w:rsidR="0070294C" w:rsidRDefault="0029224A">
                      <w:pPr>
                        <w:pStyle w:val="Zkladntext20"/>
                        <w:shd w:val="clear" w:color="auto" w:fill="auto"/>
                        <w:jc w:val="left"/>
                        <w:rPr>
                          <w:sz w:val="16"/>
                          <w:szCs w:val="16"/>
                        </w:rPr>
                      </w:pPr>
                      <w:r>
                        <w:rPr>
                          <w:sz w:val="16"/>
                          <w:szCs w:val="16"/>
                        </w:rPr>
                        <w:t>Ano</w:t>
                      </w:r>
                    </w:p>
                  </w:txbxContent>
                </v:textbox>
                <w10:wrap type="square" side="left" anchorx="page"/>
              </v:shape>
            </w:pict>
          </mc:Fallback>
        </mc:AlternateContent>
      </w:r>
      <w:bookmarkStart w:id="0" w:name="bookmark0"/>
      <w:r>
        <w:t>Smlouva o celním zastoupení a zplnomocnění</w:t>
      </w:r>
      <w:bookmarkEnd w:id="0"/>
    </w:p>
    <w:p w:rsidR="0070294C" w:rsidRDefault="0029224A">
      <w:pPr>
        <w:pStyle w:val="Zkladntext1"/>
        <w:shd w:val="clear" w:color="auto" w:fill="auto"/>
        <w:spacing w:after="0" w:line="240" w:lineRule="auto"/>
        <w:rPr>
          <w:sz w:val="15"/>
          <w:szCs w:val="15"/>
        </w:rPr>
      </w:pPr>
      <w:r>
        <w:t xml:space="preserve">Společnost / Jméno a příjmení: </w:t>
      </w:r>
      <w:r w:rsidR="00F1582F">
        <w:tab/>
      </w:r>
      <w:r>
        <w:rPr>
          <w:rFonts w:ascii="Arial" w:eastAsia="Arial" w:hAnsi="Arial" w:cs="Arial"/>
          <w:b/>
          <w:bCs/>
          <w:sz w:val="15"/>
          <w:szCs w:val="15"/>
        </w:rPr>
        <w:t>Národní galerie v Praze</w:t>
      </w:r>
    </w:p>
    <w:p w:rsidR="0070294C" w:rsidRDefault="0029224A">
      <w:pPr>
        <w:pStyle w:val="Zkladntext20"/>
        <w:shd w:val="clear" w:color="auto" w:fill="auto"/>
        <w:tabs>
          <w:tab w:val="left" w:pos="2117"/>
        </w:tabs>
        <w:rPr>
          <w:sz w:val="16"/>
          <w:szCs w:val="16"/>
        </w:rPr>
      </w:pPr>
      <w:r>
        <w:rPr>
          <w:rFonts w:ascii="Times New Roman" w:eastAsia="Times New Roman" w:hAnsi="Times New Roman" w:cs="Times New Roman"/>
          <w:sz w:val="16"/>
          <w:szCs w:val="16"/>
        </w:rPr>
        <w:t>Sí</w:t>
      </w:r>
      <w:r>
        <w:rPr>
          <w:rFonts w:ascii="Times New Roman" w:eastAsia="Times New Roman" w:hAnsi="Times New Roman" w:cs="Times New Roman"/>
          <w:color w:val="3E3E3F"/>
          <w:sz w:val="16"/>
          <w:szCs w:val="16"/>
        </w:rPr>
        <w:t>dlo</w:t>
      </w:r>
      <w:r>
        <w:rPr>
          <w:rFonts w:ascii="Times New Roman" w:eastAsia="Times New Roman" w:hAnsi="Times New Roman" w:cs="Times New Roman"/>
          <w:sz w:val="16"/>
          <w:szCs w:val="16"/>
        </w:rPr>
        <w:t>/M</w:t>
      </w:r>
      <w:r w:rsidR="00F1582F">
        <w:rPr>
          <w:rFonts w:ascii="Times New Roman" w:eastAsia="Times New Roman" w:hAnsi="Times New Roman" w:cs="Times New Roman"/>
          <w:color w:val="3E3E3F"/>
          <w:sz w:val="16"/>
          <w:szCs w:val="16"/>
        </w:rPr>
        <w:t>í</w:t>
      </w:r>
      <w:r>
        <w:rPr>
          <w:rFonts w:ascii="Times New Roman" w:eastAsia="Times New Roman" w:hAnsi="Times New Roman" w:cs="Times New Roman"/>
          <w:sz w:val="16"/>
          <w:szCs w:val="16"/>
        </w:rPr>
        <w:t>sto podnikání:</w:t>
      </w:r>
      <w:r>
        <w:rPr>
          <w:rFonts w:ascii="Times New Roman" w:eastAsia="Times New Roman" w:hAnsi="Times New Roman" w:cs="Times New Roman"/>
          <w:sz w:val="16"/>
          <w:szCs w:val="16"/>
        </w:rPr>
        <w:tab/>
      </w:r>
      <w:r>
        <w:rPr>
          <w:sz w:val="16"/>
          <w:szCs w:val="16"/>
        </w:rPr>
        <w:t>Staroměstské nám</w:t>
      </w:r>
      <w:r>
        <w:rPr>
          <w:color w:val="3E3E3F"/>
          <w:sz w:val="16"/>
          <w:szCs w:val="16"/>
        </w:rPr>
        <w:t xml:space="preserve">. </w:t>
      </w:r>
      <w:r>
        <w:rPr>
          <w:sz w:val="16"/>
          <w:szCs w:val="16"/>
        </w:rPr>
        <w:t>12, 110 15 Praha 1</w:t>
      </w:r>
    </w:p>
    <w:p w:rsidR="0070294C" w:rsidRDefault="0029224A">
      <w:pPr>
        <w:pStyle w:val="Zkladntext20"/>
        <w:shd w:val="clear" w:color="auto" w:fill="auto"/>
        <w:tabs>
          <w:tab w:val="left" w:pos="2117"/>
        </w:tabs>
        <w:rPr>
          <w:sz w:val="16"/>
          <w:szCs w:val="16"/>
        </w:rPr>
      </w:pPr>
      <w:r>
        <w:rPr>
          <w:rFonts w:ascii="Times New Roman" w:eastAsia="Times New Roman" w:hAnsi="Times New Roman" w:cs="Times New Roman"/>
          <w:sz w:val="16"/>
          <w:szCs w:val="16"/>
        </w:rPr>
        <w:t>Jednající / zastoupená:</w:t>
      </w:r>
      <w:r>
        <w:rPr>
          <w:rFonts w:ascii="Times New Roman" w:eastAsia="Times New Roman" w:hAnsi="Times New Roman" w:cs="Times New Roman"/>
          <w:sz w:val="16"/>
          <w:szCs w:val="16"/>
        </w:rPr>
        <w:tab/>
      </w:r>
      <w:r>
        <w:rPr>
          <w:sz w:val="16"/>
          <w:szCs w:val="16"/>
        </w:rPr>
        <w:t>Doc</w:t>
      </w:r>
      <w:r>
        <w:rPr>
          <w:color w:val="3E3E3F"/>
          <w:sz w:val="16"/>
          <w:szCs w:val="16"/>
        </w:rPr>
        <w:t xml:space="preserve">. </w:t>
      </w:r>
      <w:proofErr w:type="spellStart"/>
      <w:r>
        <w:rPr>
          <w:sz w:val="16"/>
          <w:szCs w:val="16"/>
        </w:rPr>
        <w:t>Dr</w:t>
      </w:r>
      <w:proofErr w:type="spellEnd"/>
      <w:r>
        <w:rPr>
          <w:sz w:val="16"/>
          <w:szCs w:val="16"/>
        </w:rPr>
        <w:t xml:space="preserve"> et Ing. Jiřím Fajtem PhD</w:t>
      </w:r>
      <w:r>
        <w:rPr>
          <w:color w:val="3E3E3F"/>
          <w:sz w:val="16"/>
          <w:szCs w:val="16"/>
        </w:rPr>
        <w:t xml:space="preserve">, </w:t>
      </w:r>
      <w:r>
        <w:rPr>
          <w:sz w:val="16"/>
          <w:szCs w:val="16"/>
        </w:rPr>
        <w:t>generálním ředitelem</w:t>
      </w:r>
    </w:p>
    <w:p w:rsidR="0070294C" w:rsidRDefault="0029224A">
      <w:pPr>
        <w:pStyle w:val="Zkladntext1"/>
        <w:shd w:val="clear" w:color="auto" w:fill="auto"/>
        <w:spacing w:after="0" w:line="240" w:lineRule="auto"/>
      </w:pPr>
      <w:r>
        <w:t>Zapsaná do</w:t>
      </w:r>
      <w:r>
        <w:t xml:space="preserve"> obchodního rejstříku vedeného</w:t>
      </w:r>
      <w:r>
        <w:rPr>
          <w:color w:val="3E3E3F"/>
        </w:rPr>
        <w:t>:</w:t>
      </w:r>
    </w:p>
    <w:p w:rsidR="0070294C" w:rsidRDefault="0029224A">
      <w:pPr>
        <w:pStyle w:val="Zkladntext20"/>
        <w:shd w:val="clear" w:color="auto" w:fill="auto"/>
        <w:tabs>
          <w:tab w:val="left" w:pos="874"/>
          <w:tab w:val="left" w:pos="2117"/>
          <w:tab w:val="left" w:pos="3029"/>
          <w:tab w:val="left" w:pos="5194"/>
          <w:tab w:val="left" w:pos="6754"/>
        </w:tabs>
        <w:rPr>
          <w:sz w:val="16"/>
          <w:szCs w:val="16"/>
        </w:rPr>
      </w:pPr>
      <w:r>
        <w:t>IČ:</w:t>
      </w:r>
      <w:r>
        <w:tab/>
        <w:t>00023281</w:t>
      </w:r>
      <w:r>
        <w:tab/>
      </w:r>
      <w:r>
        <w:rPr>
          <w:rFonts w:ascii="Times New Roman" w:eastAsia="Times New Roman" w:hAnsi="Times New Roman" w:cs="Times New Roman"/>
          <w:sz w:val="16"/>
          <w:szCs w:val="16"/>
        </w:rPr>
        <w:t>DIČ:</w:t>
      </w:r>
      <w:r>
        <w:rPr>
          <w:rFonts w:ascii="Times New Roman" w:eastAsia="Times New Roman" w:hAnsi="Times New Roman" w:cs="Times New Roman"/>
          <w:sz w:val="16"/>
          <w:szCs w:val="16"/>
        </w:rPr>
        <w:tab/>
      </w:r>
      <w:r>
        <w:t>CZ00023281 EORI:</w:t>
      </w:r>
      <w:r>
        <w:tab/>
        <w:t>CZ00023281</w:t>
      </w:r>
      <w:r>
        <w:tab/>
      </w:r>
      <w:r>
        <w:rPr>
          <w:rFonts w:ascii="Times New Roman" w:eastAsia="Times New Roman" w:hAnsi="Times New Roman" w:cs="Times New Roman"/>
          <w:sz w:val="16"/>
          <w:szCs w:val="16"/>
        </w:rPr>
        <w:t>Plátce DPH:</w:t>
      </w:r>
    </w:p>
    <w:p w:rsidR="0070294C" w:rsidRDefault="0029224A">
      <w:pPr>
        <w:pStyle w:val="Zkladntext20"/>
        <w:shd w:val="clear" w:color="auto" w:fill="auto"/>
      </w:pPr>
      <w:r>
        <w:rPr>
          <w:i/>
          <w:iCs/>
          <w:color w:val="3E3E3F"/>
        </w:rPr>
        <w:t>(</w:t>
      </w:r>
      <w:r>
        <w:rPr>
          <w:i/>
          <w:iCs/>
        </w:rPr>
        <w:t xml:space="preserve">dále jen </w:t>
      </w:r>
      <w:r>
        <w:rPr>
          <w:i/>
          <w:iCs/>
          <w:color w:val="3E3E3F"/>
        </w:rPr>
        <w:t>"</w:t>
      </w:r>
      <w:r>
        <w:rPr>
          <w:i/>
          <w:iCs/>
        </w:rPr>
        <w:t>k</w:t>
      </w:r>
      <w:r w:rsidR="00F1582F">
        <w:rPr>
          <w:i/>
          <w:iCs/>
        </w:rPr>
        <w:t>li</w:t>
      </w:r>
      <w:r>
        <w:rPr>
          <w:i/>
          <w:iCs/>
        </w:rPr>
        <w:t>en</w:t>
      </w:r>
      <w:r w:rsidR="00F1582F">
        <w:rPr>
          <w:i/>
          <w:iCs/>
        </w:rPr>
        <w:t>t</w:t>
      </w:r>
      <w:r>
        <w:rPr>
          <w:i/>
          <w:iCs/>
          <w:color w:val="3E3E3F"/>
        </w:rPr>
        <w:t>"</w:t>
      </w:r>
      <w:r>
        <w:rPr>
          <w:i/>
          <w:iCs/>
        </w:rPr>
        <w:t>)</w:t>
      </w:r>
    </w:p>
    <w:p w:rsidR="0070294C" w:rsidRDefault="0029224A">
      <w:pPr>
        <w:pStyle w:val="Zkladntext20"/>
        <w:shd w:val="clear" w:color="auto" w:fill="auto"/>
        <w:tabs>
          <w:tab w:val="left" w:pos="2117"/>
        </w:tabs>
        <w:spacing w:after="140"/>
      </w:pPr>
      <w:r>
        <w:t>Kontakt pro celní zále</w:t>
      </w:r>
      <w:r>
        <w:rPr>
          <w:color w:val="3E3E3F"/>
        </w:rPr>
        <w:t>ži</w:t>
      </w:r>
      <w:r>
        <w:t>tos</w:t>
      </w:r>
      <w:r>
        <w:rPr>
          <w:color w:val="3E3E3F"/>
        </w:rPr>
        <w:t>t</w:t>
      </w:r>
      <w:r>
        <w:t>i:</w:t>
      </w:r>
      <w:r>
        <w:tab/>
      </w:r>
      <w:r w:rsidR="00F1582F">
        <w:t>XXXXXXXXXXXXXX</w:t>
      </w:r>
      <w:r>
        <w:t xml:space="preserve"> , </w:t>
      </w:r>
      <w:proofErr w:type="spellStart"/>
      <w:proofErr w:type="gramStart"/>
      <w:r>
        <w:t>tel.</w:t>
      </w:r>
      <w:r w:rsidR="00F1582F">
        <w:t>XXXXXXXXX</w:t>
      </w:r>
      <w:proofErr w:type="spellEnd"/>
      <w:proofErr w:type="gramEnd"/>
      <w:r w:rsidR="00F1582F">
        <w:t>, XXXXXXXXXXX</w:t>
      </w:r>
      <w:r>
        <w:t xml:space="preserve"> </w:t>
      </w:r>
      <w:proofErr w:type="spellStart"/>
      <w:r>
        <w:t>tel.</w:t>
      </w:r>
      <w:r w:rsidR="00F1582F">
        <w:t>XXXXXXXXX</w:t>
      </w:r>
      <w:proofErr w:type="spellEnd"/>
    </w:p>
    <w:p w:rsidR="0070294C" w:rsidRDefault="0029224A">
      <w:pPr>
        <w:pStyle w:val="Zkladntext1"/>
        <w:shd w:val="clear" w:color="auto" w:fill="auto"/>
        <w:spacing w:after="140" w:line="257" w:lineRule="auto"/>
      </w:pPr>
      <w:r>
        <w:t>a</w:t>
      </w:r>
    </w:p>
    <w:p w:rsidR="00F1582F" w:rsidRDefault="0029224A">
      <w:pPr>
        <w:pStyle w:val="Zkladntext1"/>
        <w:shd w:val="clear" w:color="auto" w:fill="auto"/>
        <w:spacing w:after="0" w:line="257" w:lineRule="auto"/>
        <w:jc w:val="left"/>
      </w:pPr>
      <w:r>
        <w:rPr>
          <w:b/>
          <w:bCs/>
        </w:rPr>
        <w:t xml:space="preserve">UNITED PARCEL SERVICE </w:t>
      </w:r>
      <w:r>
        <w:rPr>
          <w:b/>
          <w:bCs/>
          <w:lang w:val="en-US" w:eastAsia="en-US" w:bidi="en-US"/>
        </w:rPr>
        <w:t xml:space="preserve">CZECH REPUBLIC, </w:t>
      </w:r>
      <w:r>
        <w:rPr>
          <w:b/>
          <w:bCs/>
        </w:rPr>
        <w:t xml:space="preserve">s.r.o., </w:t>
      </w:r>
      <w:r>
        <w:t xml:space="preserve">se </w:t>
      </w:r>
      <w:r>
        <w:t>sídlem K Le</w:t>
      </w:r>
      <w:r>
        <w:rPr>
          <w:color w:val="3E3E3F"/>
        </w:rPr>
        <w:t>t</w:t>
      </w:r>
      <w:r>
        <w:t xml:space="preserve">išti 57/1049, Praha 6 - Ruzyně, PSČ 161 00 </w:t>
      </w:r>
    </w:p>
    <w:p w:rsidR="0070294C" w:rsidRDefault="0029224A">
      <w:pPr>
        <w:pStyle w:val="Zkladntext1"/>
        <w:shd w:val="clear" w:color="auto" w:fill="auto"/>
        <w:spacing w:after="0" w:line="257" w:lineRule="auto"/>
        <w:jc w:val="left"/>
      </w:pPr>
      <w:r>
        <w:t xml:space="preserve">Zastoupená: Marcin </w:t>
      </w:r>
      <w:proofErr w:type="spellStart"/>
      <w:r>
        <w:t>Krzak</w:t>
      </w:r>
      <w:proofErr w:type="spellEnd"/>
    </w:p>
    <w:p w:rsidR="0070294C" w:rsidRDefault="0029224A">
      <w:pPr>
        <w:pStyle w:val="Zkladntext1"/>
        <w:shd w:val="clear" w:color="auto" w:fill="auto"/>
        <w:spacing w:after="0" w:line="257" w:lineRule="auto"/>
      </w:pPr>
      <w:r>
        <w:t>Zapsaná do obchodního rejstříku vedeného Městským soudem v Praze, oddíl C, vložka 60935</w:t>
      </w:r>
    </w:p>
    <w:p w:rsidR="0070294C" w:rsidRDefault="0029224A">
      <w:pPr>
        <w:pStyle w:val="Zkladntext1"/>
        <w:shd w:val="clear" w:color="auto" w:fill="auto"/>
        <w:spacing w:after="0" w:line="257" w:lineRule="auto"/>
      </w:pPr>
      <w:r>
        <w:t xml:space="preserve">Bankovní spojení: </w:t>
      </w:r>
      <w:r>
        <w:rPr>
          <w:lang w:val="en-US" w:eastAsia="en-US" w:bidi="en-US"/>
        </w:rPr>
        <w:t xml:space="preserve">Citibank Europe </w:t>
      </w:r>
      <w:proofErr w:type="spellStart"/>
      <w:r>
        <w:t>plc</w:t>
      </w:r>
      <w:proofErr w:type="spellEnd"/>
      <w:r>
        <w:t>, organizační složka, číslo účtu: 2027820104/2600</w:t>
      </w:r>
    </w:p>
    <w:p w:rsidR="0070294C" w:rsidRDefault="0029224A">
      <w:pPr>
        <w:pStyle w:val="Zkladntext1"/>
        <w:shd w:val="clear" w:color="auto" w:fill="auto"/>
        <w:spacing w:after="0" w:line="257" w:lineRule="auto"/>
      </w:pPr>
      <w:r>
        <w:rPr>
          <w:color w:val="3E3E3F"/>
        </w:rPr>
        <w:t>1C</w:t>
      </w:r>
      <w:r>
        <w:t>: 25684094, DIČ: CZ25684094, EORI: CZ25684094</w:t>
      </w:r>
    </w:p>
    <w:p w:rsidR="0070294C" w:rsidRDefault="0029224A">
      <w:pPr>
        <w:pStyle w:val="Zkladntext20"/>
        <w:shd w:val="clear" w:color="auto" w:fill="auto"/>
        <w:spacing w:after="320" w:line="276" w:lineRule="auto"/>
      </w:pPr>
      <w:r>
        <w:rPr>
          <w:i/>
          <w:iCs/>
        </w:rPr>
        <w:t xml:space="preserve">(dále jen </w:t>
      </w:r>
      <w:r>
        <w:rPr>
          <w:i/>
          <w:iCs/>
          <w:color w:val="3E3E3F"/>
        </w:rPr>
        <w:t>"</w:t>
      </w:r>
      <w:r>
        <w:rPr>
          <w:i/>
          <w:iCs/>
        </w:rPr>
        <w:t>společnost UPS</w:t>
      </w:r>
      <w:r>
        <w:rPr>
          <w:i/>
          <w:iCs/>
          <w:color w:val="3E3E3F"/>
        </w:rPr>
        <w:t xml:space="preserve">" </w:t>
      </w:r>
      <w:r>
        <w:rPr>
          <w:i/>
          <w:iCs/>
        </w:rPr>
        <w:t xml:space="preserve">nebo </w:t>
      </w:r>
      <w:r>
        <w:rPr>
          <w:i/>
          <w:iCs/>
          <w:color w:val="3E3E3F"/>
        </w:rPr>
        <w:t>"</w:t>
      </w:r>
      <w:r>
        <w:rPr>
          <w:i/>
          <w:iCs/>
        </w:rPr>
        <w:t>UPS</w:t>
      </w:r>
      <w:r>
        <w:rPr>
          <w:i/>
          <w:iCs/>
          <w:color w:val="3E3E3F"/>
        </w:rPr>
        <w:t>"</w:t>
      </w:r>
      <w:r>
        <w:rPr>
          <w:i/>
          <w:iCs/>
        </w:rPr>
        <w:t>)</w:t>
      </w:r>
    </w:p>
    <w:p w:rsidR="0070294C" w:rsidRDefault="0029224A">
      <w:pPr>
        <w:pStyle w:val="Zkladntext1"/>
        <w:shd w:val="clear" w:color="auto" w:fill="auto"/>
        <w:spacing w:after="340" w:line="240" w:lineRule="auto"/>
        <w:jc w:val="center"/>
        <w:rPr>
          <w:sz w:val="17"/>
          <w:szCs w:val="17"/>
        </w:rPr>
      </w:pPr>
      <w:r>
        <w:rPr>
          <w:b/>
          <w:bCs/>
          <w:sz w:val="17"/>
          <w:szCs w:val="17"/>
        </w:rPr>
        <w:t>uzavřeli následující smlouvu o celním zastoupení a zplnomocnění</w:t>
      </w:r>
    </w:p>
    <w:p w:rsidR="0070294C" w:rsidRDefault="0029224A">
      <w:pPr>
        <w:pStyle w:val="Nadpis20"/>
        <w:keepNext/>
        <w:keepLines/>
        <w:numPr>
          <w:ilvl w:val="0"/>
          <w:numId w:val="1"/>
        </w:numPr>
        <w:shd w:val="clear" w:color="auto" w:fill="auto"/>
        <w:tabs>
          <w:tab w:val="left" w:pos="222"/>
        </w:tabs>
      </w:pPr>
      <w:bookmarkStart w:id="1" w:name="bookmark1"/>
      <w:r>
        <w:t>Předmět sm</w:t>
      </w:r>
      <w:r>
        <w:rPr>
          <w:color w:val="3E3E3F"/>
        </w:rPr>
        <w:t>l</w:t>
      </w:r>
      <w:r>
        <w:t>ouvy a práva a pov</w:t>
      </w:r>
      <w:r>
        <w:rPr>
          <w:color w:val="3E3E3F"/>
        </w:rPr>
        <w:t>i</w:t>
      </w:r>
      <w:r>
        <w:t>nnosti smluvních stran</w:t>
      </w:r>
      <w:bookmarkEnd w:id="1"/>
    </w:p>
    <w:p w:rsidR="0070294C" w:rsidRDefault="0029224A">
      <w:pPr>
        <w:pStyle w:val="Zkladntext1"/>
        <w:numPr>
          <w:ilvl w:val="0"/>
          <w:numId w:val="2"/>
        </w:numPr>
        <w:shd w:val="clear" w:color="auto" w:fill="auto"/>
        <w:tabs>
          <w:tab w:val="left" w:pos="246"/>
        </w:tabs>
      </w:pPr>
      <w:r>
        <w:t>UPS se touto smlouvou zavazuje, že bude za níže uved</w:t>
      </w:r>
      <w:r>
        <w:t>ených podmínek obstarávat pro klienta a dle jeho pokynů úkony při celním projednávání (odbavení) zásilek klienta, přičemž každé projednávání jednotlivých zásilek bude považováno za opakované plnění. Klient touto smlouvou uděluje UPS potřebná oprávnění, zav</w:t>
      </w:r>
      <w:r>
        <w:t>azuje se uhradit UPS za výkon takovéto činnosti úplatu a posky</w:t>
      </w:r>
      <w:r>
        <w:rPr>
          <w:color w:val="3E3E3F"/>
        </w:rPr>
        <w:t>t</w:t>
      </w:r>
      <w:r>
        <w:t>nout nezby</w:t>
      </w:r>
      <w:r>
        <w:rPr>
          <w:color w:val="3E3E3F"/>
        </w:rPr>
        <w:t>t</w:t>
      </w:r>
      <w:r>
        <w:t>nou součinnost</w:t>
      </w:r>
      <w:r>
        <w:rPr>
          <w:color w:val="3E3E3F"/>
        </w:rPr>
        <w:t>.</w:t>
      </w:r>
    </w:p>
    <w:p w:rsidR="0070294C" w:rsidRDefault="0029224A">
      <w:pPr>
        <w:pStyle w:val="Zkladntext1"/>
        <w:numPr>
          <w:ilvl w:val="0"/>
          <w:numId w:val="2"/>
        </w:numPr>
        <w:shd w:val="clear" w:color="auto" w:fill="auto"/>
        <w:tabs>
          <w:tab w:val="left" w:pos="265"/>
        </w:tabs>
        <w:spacing w:after="140"/>
      </w:pPr>
      <w:r>
        <w:t>Úkony UPS při celním projednávání zásilek klienta spočívají zejména v tom, že UPS je oprávněna učinit jménem klienta a na jeho účet, nebo jménem UPS a na účet klienta</w:t>
      </w:r>
      <w:r>
        <w:t xml:space="preserve"> všechny úkony vedoucí k celnímu odbavení příslušné zásilky klienta</w:t>
      </w:r>
      <w:r>
        <w:rPr>
          <w:color w:val="3E3E3F"/>
        </w:rPr>
        <w:t xml:space="preserve">. </w:t>
      </w:r>
      <w:r>
        <w:t>UPS je také oprávněna přijímat veškeré písemnosti a rozhodnutí s tím související. Tyto služby jsou považovány za uskutečněné (splněné) v momentě, kdy je příslušná celní deklarace potvrzen</w:t>
      </w:r>
      <w:r>
        <w:t>á příslušným celním úřadem a předána UPS nebo odeslaná klientovi.</w:t>
      </w:r>
    </w:p>
    <w:p w:rsidR="0070294C" w:rsidRDefault="0029224A">
      <w:pPr>
        <w:pStyle w:val="Zkladntext1"/>
        <w:numPr>
          <w:ilvl w:val="0"/>
          <w:numId w:val="2"/>
        </w:numPr>
        <w:shd w:val="clear" w:color="auto" w:fill="auto"/>
        <w:tabs>
          <w:tab w:val="left" w:pos="246"/>
        </w:tabs>
        <w:spacing w:after="140" w:line="264" w:lineRule="auto"/>
      </w:pPr>
      <w:r>
        <w:t>Klient se zavazuje uhradit na výzvu UPS veškeré poplatky související s provedením úkonů UPS podle této smlouvy (zejména clo předepsané příslušným celním úřadem k úhradě, DPH a další platby z</w:t>
      </w:r>
      <w:r>
        <w:t>a úkony UPS podle této smlouvy) dle podmínek uvedených v článku lil. této smlouvy. V případě, že UPS bude uložena ze strany příslušného celního úřadu povinnost uhradit jakékoliv platby sankčního charakteru, přičemž tato povinnost nevznikne zaviněním UPS, z</w:t>
      </w:r>
      <w:r>
        <w:t>avazuje se klient dané částky UPS uhradit v plné výši ve lhůtě a za podmínek uvedených v článku lil. této smlouvy. Klient se dále zavazuje poskytnout UPS veškerou nezbytnou součinnost při plnění této smlouvy, z</w:t>
      </w:r>
      <w:r>
        <w:t>ejména na výzvu UPS posky</w:t>
      </w:r>
      <w:r>
        <w:rPr>
          <w:color w:val="3E3E3F"/>
        </w:rPr>
        <w:t>t</w:t>
      </w:r>
      <w:r>
        <w:t xml:space="preserve">nout všechny údaje </w:t>
      </w:r>
      <w:r>
        <w:t>potřebné k plnění této smlouvy. Pokud klient požadované údaje v požadovaném termínu neposky</w:t>
      </w:r>
      <w:r>
        <w:rPr>
          <w:color w:val="3E3E3F"/>
        </w:rPr>
        <w:t>t</w:t>
      </w:r>
      <w:r>
        <w:t>ne, UPS je oprávněna účtovat mu počínaje šestým dnem prodlení s posky</w:t>
      </w:r>
      <w:r>
        <w:rPr>
          <w:color w:val="3E3E3F"/>
        </w:rPr>
        <w:t>t</w:t>
      </w:r>
      <w:r>
        <w:t>nutím daných údajů skladné podle Sazebníků poplatků UPS.</w:t>
      </w:r>
    </w:p>
    <w:p w:rsidR="0070294C" w:rsidRDefault="0029224A">
      <w:pPr>
        <w:pStyle w:val="Zkladntext1"/>
        <w:numPr>
          <w:ilvl w:val="0"/>
          <w:numId w:val="2"/>
        </w:numPr>
        <w:shd w:val="clear" w:color="auto" w:fill="auto"/>
        <w:tabs>
          <w:tab w:val="left" w:pos="246"/>
        </w:tabs>
        <w:spacing w:after="140"/>
      </w:pPr>
      <w:r>
        <w:t xml:space="preserve">UPS nenese odpovědnost za škodu </w:t>
      </w:r>
      <w:r>
        <w:t>způsobenou porušením této smlouvy nebo obecně závazných právních předpisů, jednáním, nečinností anebo opomenutím ze strany klienta. UPS dále nenese odpovědnost za nemožnost řádného plnění smlouvy z důvodu uvedení chybných, neúplných nebo nepravdivých údajů</w:t>
      </w:r>
      <w:r>
        <w:t xml:space="preserve"> klientem nebo odesílatelem či výskytu takových údajů v odpovědi na výzvu k poskytnutí relevantních údajů v jakýchkoli dokumentech doručených UPS klientem. Za správnost, pravdivost a úplnost údajů sdělených klientem za účelem plnění této smlouvy nebo v sou</w:t>
      </w:r>
      <w:r>
        <w:t>vislosti s ní odpovídá klient. UPS neodpovídá za jakoukoliv škodu způsobenou tím, že klient je v prodlení s posky</w:t>
      </w:r>
      <w:r>
        <w:rPr>
          <w:color w:val="3E3E3F"/>
        </w:rPr>
        <w:t>t</w:t>
      </w:r>
      <w:r>
        <w:t xml:space="preserve">nutím finančních prostředků UPS dle článku </w:t>
      </w:r>
      <w:proofErr w:type="gramStart"/>
      <w:r>
        <w:t>1</w:t>
      </w:r>
      <w:r>
        <w:rPr>
          <w:color w:val="3E3E3F"/>
        </w:rPr>
        <w:t>.</w:t>
      </w:r>
      <w:r>
        <w:t>3. a článku</w:t>
      </w:r>
      <w:proofErr w:type="gramEnd"/>
      <w:r>
        <w:t xml:space="preserve"> III. této smlouvy</w:t>
      </w:r>
      <w:r>
        <w:rPr>
          <w:color w:val="3E3E3F"/>
        </w:rPr>
        <w:t>.</w:t>
      </w:r>
    </w:p>
    <w:p w:rsidR="0070294C" w:rsidRDefault="0029224A">
      <w:pPr>
        <w:pStyle w:val="Nadpis20"/>
        <w:keepNext/>
        <w:keepLines/>
        <w:numPr>
          <w:ilvl w:val="0"/>
          <w:numId w:val="1"/>
        </w:numPr>
        <w:shd w:val="clear" w:color="auto" w:fill="auto"/>
        <w:tabs>
          <w:tab w:val="left" w:pos="284"/>
        </w:tabs>
      </w:pPr>
      <w:bookmarkStart w:id="2" w:name="bookmark2"/>
      <w:r>
        <w:rPr>
          <w:color w:val="3E3E3F"/>
        </w:rPr>
        <w:t>Zp</w:t>
      </w:r>
      <w:r>
        <w:t>l</w:t>
      </w:r>
      <w:r>
        <w:rPr>
          <w:color w:val="3E3E3F"/>
        </w:rPr>
        <w:t>nomocnění</w:t>
      </w:r>
      <w:r>
        <w:t>:</w:t>
      </w:r>
      <w:bookmarkEnd w:id="2"/>
    </w:p>
    <w:p w:rsidR="0070294C" w:rsidRDefault="0029224A">
      <w:pPr>
        <w:pStyle w:val="Zkladntext1"/>
        <w:numPr>
          <w:ilvl w:val="0"/>
          <w:numId w:val="3"/>
        </w:numPr>
        <w:shd w:val="clear" w:color="auto" w:fill="auto"/>
        <w:tabs>
          <w:tab w:val="left" w:pos="246"/>
        </w:tabs>
        <w:spacing w:after="140" w:line="264" w:lineRule="auto"/>
      </w:pPr>
      <w:r>
        <w:t xml:space="preserve">Za účelem plnění závazků společnosti UPS </w:t>
      </w:r>
      <w:r>
        <w:t>vyplývajících z této smlouvy, uděluje tímto klient společnosti UPS plnou moc k vykonávání veškerých úkonů a formalit stanovených právními předpisy pro celní odbaveni zásilek klienta včetně přebírání veškerých písemností a rozhodnutí souvisejících s touto č</w:t>
      </w:r>
      <w:r>
        <w:t>inností a podávání řádných a mimořádných opravných prostředků. Podpisem na této smlouvě klient výslovně souhlasí s tím, aby společnost UPS zmocnila/pověřila k vykonávání veškerých úkonů a formalit stanovených právními předpisy pro celní odbavení zásilek kl</w:t>
      </w:r>
      <w:r>
        <w:t>ienta své zaměstnance</w:t>
      </w:r>
      <w:r>
        <w:rPr>
          <w:color w:val="3E3E3F"/>
        </w:rPr>
        <w:t>.</w:t>
      </w:r>
    </w:p>
    <w:p w:rsidR="0070294C" w:rsidRDefault="0029224A">
      <w:pPr>
        <w:pStyle w:val="Zkladntext1"/>
        <w:numPr>
          <w:ilvl w:val="0"/>
          <w:numId w:val="3"/>
        </w:numPr>
        <w:shd w:val="clear" w:color="auto" w:fill="auto"/>
        <w:tabs>
          <w:tab w:val="left" w:pos="250"/>
        </w:tabs>
        <w:spacing w:after="140" w:line="264" w:lineRule="auto"/>
        <w:sectPr w:rsidR="0070294C">
          <w:pgSz w:w="11900" w:h="16840"/>
          <w:pgMar w:top="1498" w:right="1886" w:bottom="1498" w:left="1350" w:header="1070" w:footer="1070" w:gutter="0"/>
          <w:pgNumType w:start="1"/>
          <w:cols w:space="720"/>
          <w:noEndnote/>
          <w:docGrid w:linePitch="360"/>
        </w:sectPr>
      </w:pPr>
      <w:r>
        <w:t>UPS je vyhrazeno právo určit, zda při celním pro</w:t>
      </w:r>
      <w:r>
        <w:rPr>
          <w:color w:val="3E3E3F"/>
        </w:rPr>
        <w:t>j</w:t>
      </w:r>
      <w:r>
        <w:t xml:space="preserve">ednání zásilky klienta bude vystupovat na základě této plné moci v nepřímém zastoupení nebo přímém zastoupení klienta na základě článku II. I této smlouvy </w:t>
      </w:r>
      <w:r>
        <w:t>(jménem UPS na účet klienta), v mez</w:t>
      </w:r>
      <w:r>
        <w:t>ích, v nichž je takovéto zastoupení umožněno platnými právními předpisy.</w:t>
      </w:r>
    </w:p>
    <w:p w:rsidR="0070294C" w:rsidRDefault="0029224A">
      <w:pPr>
        <w:pStyle w:val="Nadpis20"/>
        <w:keepNext/>
        <w:keepLines/>
        <w:numPr>
          <w:ilvl w:val="0"/>
          <w:numId w:val="1"/>
        </w:numPr>
        <w:shd w:val="clear" w:color="auto" w:fill="auto"/>
        <w:tabs>
          <w:tab w:val="left" w:pos="345"/>
        </w:tabs>
        <w:spacing w:line="240" w:lineRule="auto"/>
      </w:pPr>
      <w:bookmarkStart w:id="3" w:name="bookmark3"/>
      <w:r>
        <w:rPr>
          <w:color w:val="3E3E3F"/>
        </w:rPr>
        <w:lastRenderedPageBreak/>
        <w:t>F</w:t>
      </w:r>
      <w:r>
        <w:t xml:space="preserve">akturační a </w:t>
      </w:r>
      <w:r>
        <w:rPr>
          <w:color w:val="3E3E3F"/>
        </w:rPr>
        <w:t>p</w:t>
      </w:r>
      <w:r>
        <w:t xml:space="preserve">latební </w:t>
      </w:r>
      <w:r>
        <w:rPr>
          <w:color w:val="3E3E3F"/>
        </w:rPr>
        <w:t>p</w:t>
      </w:r>
      <w:r>
        <w:t xml:space="preserve">od </w:t>
      </w:r>
      <w:r>
        <w:rPr>
          <w:color w:val="3E3E3F"/>
        </w:rPr>
        <w:t>minky</w:t>
      </w:r>
      <w:r>
        <w:t>:</w:t>
      </w:r>
      <w:bookmarkEnd w:id="3"/>
    </w:p>
    <w:p w:rsidR="0070294C" w:rsidRDefault="0029224A">
      <w:pPr>
        <w:pStyle w:val="Zkladntext1"/>
        <w:numPr>
          <w:ilvl w:val="0"/>
          <w:numId w:val="4"/>
        </w:numPr>
        <w:shd w:val="clear" w:color="auto" w:fill="auto"/>
        <w:tabs>
          <w:tab w:val="left" w:pos="244"/>
        </w:tabs>
        <w:spacing w:line="269" w:lineRule="auto"/>
      </w:pPr>
      <w:r>
        <w:t>Klient se zavazuje, že uhradí na výzvu UPS veškeré platby účtované na základě článku 1</w:t>
      </w:r>
      <w:r>
        <w:rPr>
          <w:color w:val="3E3E3F"/>
        </w:rPr>
        <w:t>.</w:t>
      </w:r>
      <w:r>
        <w:t>3 této smlouvy, jejichž výš</w:t>
      </w:r>
      <w:r>
        <w:t>e bude stanovena dle výše poplatků za celní služby uvedené v Sazebníku poplatků UPS, kter</w:t>
      </w:r>
      <w:r>
        <w:rPr>
          <w:color w:val="3E3E3F"/>
        </w:rPr>
        <w:t xml:space="preserve">ý </w:t>
      </w:r>
      <w:r>
        <w:t xml:space="preserve">je dostupný na webových stránkách UPS </w:t>
      </w:r>
      <w:r>
        <w:rPr>
          <w:lang w:val="en-US" w:eastAsia="en-US" w:bidi="en-US"/>
        </w:rPr>
        <w:t>(</w:t>
      </w:r>
      <w:hyperlink r:id="rId7" w:history="1">
        <w:r>
          <w:rPr>
            <w:lang w:val="en-US" w:eastAsia="en-US" w:bidi="en-US"/>
          </w:rPr>
          <w:t>http://www.ups.com</w:t>
        </w:r>
      </w:hyperlink>
      <w:r>
        <w:rPr>
          <w:lang w:val="en-US" w:eastAsia="en-US" w:bidi="en-US"/>
        </w:rPr>
        <w:t>).</w:t>
      </w:r>
    </w:p>
    <w:p w:rsidR="0070294C" w:rsidRDefault="0029224A">
      <w:pPr>
        <w:pStyle w:val="Zkladntext1"/>
        <w:numPr>
          <w:ilvl w:val="0"/>
          <w:numId w:val="4"/>
        </w:numPr>
        <w:shd w:val="clear" w:color="auto" w:fill="auto"/>
        <w:tabs>
          <w:tab w:val="left" w:pos="244"/>
        </w:tabs>
        <w:spacing w:after="160" w:line="264" w:lineRule="auto"/>
      </w:pPr>
      <w:r>
        <w:t>Nejsou-li smluvně ujednány jiné platební podmínky, účtované platby je mo</w:t>
      </w:r>
      <w:r>
        <w:t>žné vybrat při předání příslušné zásilky příjemci. Nedojde-li k úhradě účtovaných plateb při předání zásilky, je klient povinen veškeré platby uhradit ve lhůtě splatnosti uvedené ve výzvě (faktuře) vystavené UPS na účet UPS určený v této smlouvě</w:t>
      </w:r>
      <w:r>
        <w:rPr>
          <w:color w:val="3E3E3F"/>
        </w:rPr>
        <w:t xml:space="preserve">. </w:t>
      </w:r>
      <w:r>
        <w:t>Každá čás</w:t>
      </w:r>
      <w:r>
        <w:t>tka se považuje za splacenou dnem, kdy je připsána na účet UPS. Klient je povinen uhradit UPS veškeré vyúčtované částky ve lhůtě splatnosti uvedené ve výzvě (faktuře) i v případě, že došlo/dojde k reklamaci výpočtu cla u celního úřadu; pokud celní úřad upl</w:t>
      </w:r>
      <w:r>
        <w:t>atněný požadavek uzná, bude příslušná částka společností UPS vrácena (uhrazena) klientovi.</w:t>
      </w:r>
    </w:p>
    <w:p w:rsidR="0070294C" w:rsidRDefault="0029224A">
      <w:pPr>
        <w:pStyle w:val="Nadpis20"/>
        <w:keepNext/>
        <w:keepLines/>
        <w:numPr>
          <w:ilvl w:val="0"/>
          <w:numId w:val="1"/>
        </w:numPr>
        <w:shd w:val="clear" w:color="auto" w:fill="auto"/>
        <w:tabs>
          <w:tab w:val="left" w:pos="331"/>
        </w:tabs>
        <w:spacing w:line="266" w:lineRule="auto"/>
      </w:pPr>
      <w:bookmarkStart w:id="4" w:name="bookmark4"/>
      <w:r>
        <w:t>D</w:t>
      </w:r>
      <w:r w:rsidR="00F1582F">
        <w:t>a</w:t>
      </w:r>
      <w:r>
        <w:t xml:space="preserve">lší </w:t>
      </w:r>
      <w:r w:rsidR="00F1582F">
        <w:t>u</w:t>
      </w:r>
      <w:r>
        <w:rPr>
          <w:color w:val="3E3E3F"/>
        </w:rPr>
        <w:t>s</w:t>
      </w:r>
      <w:r>
        <w:t>t</w:t>
      </w:r>
      <w:r w:rsidR="00F1582F">
        <w:t>ano</w:t>
      </w:r>
      <w:r>
        <w:t>v</w:t>
      </w:r>
      <w:r w:rsidR="00F1582F">
        <w:t>e</w:t>
      </w:r>
      <w:r>
        <w:t xml:space="preserve">ní </w:t>
      </w:r>
      <w:r w:rsidR="00F1582F">
        <w:t>a</w:t>
      </w:r>
      <w:r>
        <w:t xml:space="preserve"> závěrečná </w:t>
      </w:r>
      <w:r>
        <w:t>j</w:t>
      </w:r>
      <w:r w:rsidR="00F1582F">
        <w:t>e</w:t>
      </w:r>
      <w:r>
        <w:t>dnání:</w:t>
      </w:r>
      <w:bookmarkEnd w:id="4"/>
    </w:p>
    <w:p w:rsidR="0070294C" w:rsidRDefault="0029224A">
      <w:pPr>
        <w:pStyle w:val="Zkladntext1"/>
        <w:numPr>
          <w:ilvl w:val="0"/>
          <w:numId w:val="5"/>
        </w:numPr>
        <w:shd w:val="clear" w:color="auto" w:fill="auto"/>
        <w:tabs>
          <w:tab w:val="left" w:pos="244"/>
        </w:tabs>
      </w:pPr>
      <w:r>
        <w:t>Tato smlouva se uzavírá na dobu neurčitou a nabývá platnosti a účinnosti dnem jejího podpisu oběma smluvními stranami. Tuto sm</w:t>
      </w:r>
      <w:r>
        <w:t>louvu lze ukončit písemnou dohodou obou smluvních stran nebo písemnou výpovědí, přičemž se sjednává třiceti denní výpovědní lhůta počínající dnem následujícím po doručení písemné výpovědi druhé smluvní straně.</w:t>
      </w:r>
    </w:p>
    <w:p w:rsidR="0070294C" w:rsidRDefault="0029224A">
      <w:pPr>
        <w:pStyle w:val="Zkladntext1"/>
        <w:numPr>
          <w:ilvl w:val="0"/>
          <w:numId w:val="5"/>
        </w:numPr>
        <w:shd w:val="clear" w:color="auto" w:fill="auto"/>
        <w:tabs>
          <w:tab w:val="left" w:pos="244"/>
        </w:tabs>
      </w:pPr>
      <w:r>
        <w:t>K</w:t>
      </w:r>
      <w:r>
        <w:rPr>
          <w:color w:val="3E3E3F"/>
        </w:rPr>
        <w:t>l</w:t>
      </w:r>
      <w:r>
        <w:t>ient se zavazuje bez zby</w:t>
      </w:r>
      <w:r>
        <w:rPr>
          <w:color w:val="3E3E3F"/>
        </w:rPr>
        <w:t>t</w:t>
      </w:r>
      <w:r>
        <w:t xml:space="preserve">ečného odkladu </w:t>
      </w:r>
      <w:r>
        <w:t xml:space="preserve">písemně oznámit UPS všechny změny v písemných obchodních a jiných dokumentech klienta, které souvisí či by mohly souviset s celním řízením a plněním závazků UPS dle této smlouvy, jakož i jiné důležité skutečnosti, které vzniknou ve shora uvedených údajích </w:t>
      </w:r>
      <w:r>
        <w:t>či přiložené dokumentaci. Za případné škody a</w:t>
      </w:r>
      <w:r>
        <w:rPr>
          <w:color w:val="3E3E3F"/>
        </w:rPr>
        <w:t>/</w:t>
      </w:r>
      <w:r>
        <w:t>nebo zdržení, vzniklé porušením ustanovení tohoto odstavce smlouvy ze strany klienta, např</w:t>
      </w:r>
      <w:r>
        <w:rPr>
          <w:color w:val="3E3E3F"/>
        </w:rPr>
        <w:t xml:space="preserve">. </w:t>
      </w:r>
      <w:r>
        <w:t>neposkytnutím nezbytné dokumentace a/nebo informací potřebných k celnímu odbavení zásilek (DIČ, EOR</w:t>
      </w:r>
      <w:r>
        <w:rPr>
          <w:color w:val="3E3E3F"/>
        </w:rPr>
        <w:t>.</w:t>
      </w:r>
      <w:r>
        <w:t>I číslo, EKOKOM, a</w:t>
      </w:r>
      <w:r>
        <w:t>pod.), nenese UPS odpovědnost.</w:t>
      </w:r>
    </w:p>
    <w:p w:rsidR="0070294C" w:rsidRDefault="0029224A">
      <w:pPr>
        <w:pStyle w:val="Zkladntext1"/>
        <w:numPr>
          <w:ilvl w:val="0"/>
          <w:numId w:val="5"/>
        </w:numPr>
        <w:shd w:val="clear" w:color="auto" w:fill="auto"/>
        <w:tabs>
          <w:tab w:val="left" w:pos="273"/>
        </w:tabs>
      </w:pPr>
      <w:r>
        <w:t xml:space="preserve">UPS bude nakládat s poskytnutými osobními údaji v souladu </w:t>
      </w:r>
      <w:proofErr w:type="gramStart"/>
      <w:r>
        <w:t>ze</w:t>
      </w:r>
      <w:proofErr w:type="gramEnd"/>
      <w:r>
        <w:t xml:space="preserve"> </w:t>
      </w:r>
      <w:proofErr w:type="gramStart"/>
      <w:r>
        <w:t>zákonem</w:t>
      </w:r>
      <w:proofErr w:type="gramEnd"/>
      <w:r>
        <w:t xml:space="preserve"> o ochraně osobních údajů č. 1</w:t>
      </w:r>
      <w:r>
        <w:rPr>
          <w:color w:val="3E3E3F"/>
        </w:rPr>
        <w:t>0</w:t>
      </w:r>
      <w:r>
        <w:t>1</w:t>
      </w:r>
      <w:r>
        <w:rPr>
          <w:color w:val="3E3E3F"/>
        </w:rPr>
        <w:t>/</w:t>
      </w:r>
      <w:r>
        <w:t xml:space="preserve">2000 Sb., ve znění pozdějších předpisů, v rozsahu nezbytném k uplatněni práv a povinností vyplývajících z této smlouvy nebo </w:t>
      </w:r>
      <w:r>
        <w:t>z platných právních předpisů. Pokud bylo v této smlouvě uvedeno rodné číslo, bude sloužit za účelem identifikace klienta v celním řízení. Kontaktní údaje budou sloužit k zajištění součinnosti při poskytováni informací podle článku 1</w:t>
      </w:r>
      <w:r>
        <w:rPr>
          <w:color w:val="3E3E3F"/>
        </w:rPr>
        <w:t>.</w:t>
      </w:r>
      <w:r>
        <w:t xml:space="preserve">3 této smlouvy. UPS je </w:t>
      </w:r>
      <w:r>
        <w:t>povinna podle platných předpisů po stanovenou dobu archivovat doklady k celním operacím (ke dni uzavření této smlouvy 10 let); pokud budou jakékoli doklady či dokumenty týkající se celního řízení, v němž UPS klienta na základě plné moci udělené v této smlo</w:t>
      </w:r>
      <w:r>
        <w:t>uvě zastupovala, předány UPS klientovi, je klient povinen tyto doklady uchovávat po zákonem stanovenou dobu (ke dni uzavření této smlouvy 10 let) a ty</w:t>
      </w:r>
      <w:r>
        <w:rPr>
          <w:color w:val="3E3E3F"/>
        </w:rPr>
        <w:t>t</w:t>
      </w:r>
      <w:r>
        <w:t>o dokumenty na vyžádání předat UPS za účelem jejich předložení celním orgánům.. Další informace o ochraně</w:t>
      </w:r>
      <w:r>
        <w:t xml:space="preserve"> osobních údajů jsou dostupné na webových stránkách UPS.</w:t>
      </w:r>
    </w:p>
    <w:p w:rsidR="0070294C" w:rsidRDefault="0029224A">
      <w:pPr>
        <w:pStyle w:val="Zkladntext1"/>
        <w:numPr>
          <w:ilvl w:val="0"/>
          <w:numId w:val="5"/>
        </w:numPr>
        <w:shd w:val="clear" w:color="auto" w:fill="auto"/>
        <w:tabs>
          <w:tab w:val="left" w:pos="248"/>
        </w:tabs>
        <w:spacing w:line="269" w:lineRule="auto"/>
      </w:pPr>
      <w:r>
        <w:t>Tato smlouva může být měněna nebo doplňována pouze číslovanými dodatky v písemné formě, podepsanými oběma smluvními stranami. Práva a povinnosti vyplýva</w:t>
      </w:r>
      <w:r>
        <w:rPr>
          <w:color w:val="3E3E3F"/>
        </w:rPr>
        <w:t>j</w:t>
      </w:r>
      <w:r>
        <w:t>ící z této smlouvy budou zavazovat a opravňova</w:t>
      </w:r>
      <w:r>
        <w:t>t právní nástupce obou smluvních stran</w:t>
      </w:r>
      <w:r>
        <w:rPr>
          <w:color w:val="3E3E3F"/>
        </w:rPr>
        <w:t>.</w:t>
      </w:r>
    </w:p>
    <w:p w:rsidR="0070294C" w:rsidRDefault="0029224A">
      <w:pPr>
        <w:pStyle w:val="Zkladntext1"/>
        <w:numPr>
          <w:ilvl w:val="0"/>
          <w:numId w:val="5"/>
        </w:numPr>
        <w:shd w:val="clear" w:color="auto" w:fill="auto"/>
        <w:tabs>
          <w:tab w:val="left" w:pos="255"/>
        </w:tabs>
      </w:pPr>
      <w:r>
        <w:t xml:space="preserve">Tato smlouva se řídí a bude vykládána v souladu s právním řádem České republiky. Ukáže </w:t>
      </w:r>
      <w:proofErr w:type="spellStart"/>
      <w:r>
        <w:t>li</w:t>
      </w:r>
      <w:proofErr w:type="spellEnd"/>
      <w:r>
        <w:t xml:space="preserve"> </w:t>
      </w:r>
      <w:proofErr w:type="gramStart"/>
      <w:r>
        <w:t>se některé</w:t>
      </w:r>
      <w:proofErr w:type="gramEnd"/>
      <w:r>
        <w:t xml:space="preserve"> ustanovení této smlouvy zcela nebo částečně neplatné nebo se neplatným stane později, platnost ostatních ustanovení</w:t>
      </w:r>
      <w:r>
        <w:t xml:space="preserve"> této smlouvy tím nebude dotčena, ledaže takové neplatné ustanovení nemůže být odděleno od zbývajících ustanovení. Příslušné neplatné ustanovení bude nahrazeno adekvátní úpravou, která se, jak je to jen právně možné, podobá tomu, co smluvní strany zamýšlel</w:t>
      </w:r>
      <w:r>
        <w:t>y nebo by s ohledem na smysl a účel této smlouvy zamýšlely, kdyby příslušná otázka vyvstala.</w:t>
      </w:r>
    </w:p>
    <w:p w:rsidR="0070294C" w:rsidRDefault="0029224A">
      <w:pPr>
        <w:pStyle w:val="Zkladntext1"/>
        <w:numPr>
          <w:ilvl w:val="0"/>
          <w:numId w:val="5"/>
        </w:numPr>
        <w:shd w:val="clear" w:color="auto" w:fill="auto"/>
        <w:tabs>
          <w:tab w:val="left" w:pos="252"/>
        </w:tabs>
        <w:spacing w:line="259" w:lineRule="auto"/>
      </w:pPr>
      <w:r>
        <w:t>Tato smlouva bude uzavřena a podepsána ve dvou stejnopisech v českém jaz</w:t>
      </w:r>
      <w:r>
        <w:rPr>
          <w:color w:val="3E3E3F"/>
        </w:rPr>
        <w:t>y</w:t>
      </w:r>
      <w:r>
        <w:t>ce, z nichž každý má stejnou platnost. Každá ze smluvních stran obdrží jeden stejnopis sml</w:t>
      </w:r>
      <w:r>
        <w:t>ouvy.</w:t>
      </w:r>
    </w:p>
    <w:p w:rsidR="0070294C" w:rsidRDefault="0029224A">
      <w:pPr>
        <w:pStyle w:val="Zkladntext1"/>
        <w:numPr>
          <w:ilvl w:val="0"/>
          <w:numId w:val="5"/>
        </w:numPr>
        <w:shd w:val="clear" w:color="auto" w:fill="auto"/>
        <w:tabs>
          <w:tab w:val="left" w:pos="248"/>
        </w:tabs>
      </w:pPr>
      <w:r>
        <w:t>Osoby podepisující tuto smlouvu prohlašují, že jednají jako oprávnění zástupci smluvních stran</w:t>
      </w:r>
      <w:r>
        <w:rPr>
          <w:color w:val="3E3E3F"/>
        </w:rPr>
        <w:t>.</w:t>
      </w:r>
    </w:p>
    <w:p w:rsidR="0070294C" w:rsidRDefault="0029224A">
      <w:pPr>
        <w:pStyle w:val="Zkladntext1"/>
        <w:numPr>
          <w:ilvl w:val="0"/>
          <w:numId w:val="5"/>
        </w:numPr>
        <w:shd w:val="clear" w:color="auto" w:fill="auto"/>
        <w:tabs>
          <w:tab w:val="left" w:pos="252"/>
        </w:tabs>
        <w:spacing w:after="580" w:line="264" w:lineRule="auto"/>
      </w:pPr>
      <w:r>
        <w:rPr>
          <w:noProof/>
          <w:lang w:bidi="ar-SA"/>
        </w:rPr>
        <mc:AlternateContent>
          <mc:Choice Requires="wps">
            <w:drawing>
              <wp:anchor distT="0" distB="0" distL="114300" distR="114300" simplePos="0" relativeHeight="125829381" behindDoc="0" locked="0" layoutInCell="1" allowOverlap="1">
                <wp:simplePos x="0" y="0"/>
                <wp:positionH relativeFrom="page">
                  <wp:posOffset>819785</wp:posOffset>
                </wp:positionH>
                <wp:positionV relativeFrom="paragraph">
                  <wp:posOffset>609600</wp:posOffset>
                </wp:positionV>
                <wp:extent cx="1385570" cy="26289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385570" cy="262890"/>
                        </a:xfrm>
                        <a:prstGeom prst="rect">
                          <a:avLst/>
                        </a:prstGeom>
                        <a:noFill/>
                      </wps:spPr>
                      <wps:txbx>
                        <w:txbxContent>
                          <w:p w:rsidR="0070294C" w:rsidRDefault="0029224A">
                            <w:pPr>
                              <w:pStyle w:val="Zkladntext1"/>
                              <w:shd w:val="clear" w:color="auto" w:fill="auto"/>
                              <w:spacing w:after="0" w:line="240" w:lineRule="auto"/>
                            </w:pPr>
                            <w:r>
                              <w:rPr>
                                <w:b/>
                                <w:bCs/>
                              </w:rPr>
                              <w:t xml:space="preserve">UNITED PARCEL SERVICE </w:t>
                            </w:r>
                            <w:r>
                              <w:rPr>
                                <w:b/>
                                <w:bCs/>
                                <w:lang w:val="en-US" w:eastAsia="en-US" w:bidi="en-US"/>
                              </w:rPr>
                              <w:t xml:space="preserve">CZECH REPUBLIC, </w:t>
                            </w:r>
                            <w:r>
                              <w:rPr>
                                <w:b/>
                                <w:bCs/>
                              </w:rPr>
                              <w:t>s. a. d.</w:t>
                            </w:r>
                          </w:p>
                        </w:txbxContent>
                      </wps:txbx>
                      <wps:bodyPr lIns="0" tIns="0" rIns="0" bIns="0">
                        <a:spAutoFit/>
                      </wps:bodyPr>
                    </wps:wsp>
                  </a:graphicData>
                </a:graphic>
              </wp:anchor>
            </w:drawing>
          </mc:Choice>
          <mc:Fallback>
            <w:pict>
              <v:shape id="_x0000_s1031" type="#_x0000_t202" style="position:absolute;margin-left:64.549999999999997pt;margin-top:48.pt;width:109.09999999999999pt;height:20.699999999999999pt;z-index:-125829372;mso-wrap-distance-left:9.pt;mso-wrap-distance-right:9.pt;mso-position-horizontal-relative:page"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pPr>
                      <w:r>
                        <w:rPr>
                          <w:b/>
                          <w:bCs/>
                          <w:color w:val="000000"/>
                          <w:spacing w:val="0"/>
                          <w:w w:val="100"/>
                          <w:position w:val="0"/>
                          <w:shd w:val="clear" w:color="auto" w:fill="auto"/>
                          <w:lang w:val="cs-CZ" w:eastAsia="cs-CZ" w:bidi="cs-CZ"/>
                        </w:rPr>
                        <w:t xml:space="preserve">UNITED PARCEL SERVICE </w:t>
                      </w:r>
                      <w:r>
                        <w:rPr>
                          <w:b/>
                          <w:bCs/>
                          <w:color w:val="000000"/>
                          <w:spacing w:val="0"/>
                          <w:w w:val="100"/>
                          <w:position w:val="0"/>
                          <w:shd w:val="clear" w:color="auto" w:fill="auto"/>
                          <w:lang w:val="en-US" w:eastAsia="en-US" w:bidi="en-US"/>
                        </w:rPr>
                        <w:t xml:space="preserve">CZECH REPUBLIC, </w:t>
                      </w:r>
                      <w:r>
                        <w:rPr>
                          <w:b/>
                          <w:bCs/>
                          <w:color w:val="000000"/>
                          <w:spacing w:val="0"/>
                          <w:w w:val="100"/>
                          <w:position w:val="0"/>
                          <w:shd w:val="clear" w:color="auto" w:fill="auto"/>
                          <w:lang w:val="cs-CZ" w:eastAsia="cs-CZ" w:bidi="cs-CZ"/>
                        </w:rPr>
                        <w:t>s. a. d.</w:t>
                      </w:r>
                    </w:p>
                  </w:txbxContent>
                </v:textbox>
                <w10:wrap type="square" side="right" anchorx="page"/>
              </v:shape>
            </w:pict>
          </mc:Fallback>
        </mc:AlternateContent>
      </w:r>
      <w:r>
        <w:t>Uzavřením této smlouvy pozbývají účinnosti veškeré ujednání a smlouvy sjednané (uzavřené) mezi smluvními</w:t>
      </w:r>
      <w:r>
        <w:t xml:space="preserve"> stranami týkající se shodného či obdobného předmětu plnění jako je předmět plnění této smlouvy.</w:t>
      </w:r>
    </w:p>
    <w:p w:rsidR="0070294C" w:rsidRPr="00F1582F" w:rsidRDefault="0029224A" w:rsidP="00F1582F">
      <w:pPr>
        <w:pStyle w:val="Zkladntext30"/>
        <w:shd w:val="clear" w:color="auto" w:fill="auto"/>
        <w:ind w:left="708" w:firstLine="708"/>
        <w:jc w:val="center"/>
        <w:rPr>
          <w:b/>
        </w:rPr>
      </w:pPr>
      <w:r w:rsidRPr="00F1582F">
        <w:rPr>
          <w:b/>
          <w:noProof/>
          <w:lang w:bidi="ar-SA"/>
        </w:rPr>
        <mc:AlternateContent>
          <mc:Choice Requires="wps">
            <w:drawing>
              <wp:anchor distT="0" distB="0" distL="114300" distR="114300" simplePos="0" relativeHeight="125829383" behindDoc="0" locked="0" layoutInCell="1" allowOverlap="1">
                <wp:simplePos x="0" y="0"/>
                <wp:positionH relativeFrom="page">
                  <wp:posOffset>6063615</wp:posOffset>
                </wp:positionH>
                <wp:positionV relativeFrom="paragraph">
                  <wp:posOffset>241300</wp:posOffset>
                </wp:positionV>
                <wp:extent cx="1122680" cy="30162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122680" cy="301625"/>
                        </a:xfrm>
                        <a:prstGeom prst="rect">
                          <a:avLst/>
                        </a:prstGeom>
                        <a:noFill/>
                      </wps:spPr>
                      <wps:txbx>
                        <w:txbxContent>
                          <w:p w:rsidR="0070294C" w:rsidRDefault="0070294C">
                            <w:pPr>
                              <w:pStyle w:val="Zkladntext1"/>
                              <w:shd w:val="clear" w:color="auto" w:fill="auto"/>
                              <w:spacing w:after="0"/>
                              <w:rPr>
                                <w:i/>
                                <w:iCs/>
                              </w:rPr>
                            </w:pPr>
                          </w:p>
                          <w:p w:rsidR="00F1582F" w:rsidRDefault="00F1582F">
                            <w:pPr>
                              <w:pStyle w:val="Zkladntext1"/>
                              <w:shd w:val="clear" w:color="auto" w:fill="auto"/>
                              <w:spacing w:after="0"/>
                            </w:pPr>
                          </w:p>
                        </w:txbxContent>
                      </wps:txbx>
                      <wps:bodyPr lIns="0" tIns="0" rIns="0" bIns="0">
                        <a:spAutoFit/>
                      </wps:bodyPr>
                    </wps:wsp>
                  </a:graphicData>
                </a:graphic>
              </wp:anchor>
            </w:drawing>
          </mc:Choice>
          <mc:Fallback>
            <w:pict>
              <v:shape id="Shape 7" o:spid="_x0000_s1028" type="#_x0000_t202" style="position:absolute;left:0;text-align:left;margin-left:477.45pt;margin-top:19pt;width:88.4pt;height:23.75pt;z-index:12582938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" filled="f" stroked="f">
                <v:textbox style="mso-fit-shape-to-text:t" inset="0,0,0,0">
                  <w:txbxContent>
                    <w:p w:rsidR="0070294C" w:rsidRDefault="0070294C">
                      <w:pPr>
                        <w:pStyle w:val="Zkladntext1"/>
                        <w:shd w:val="clear" w:color="auto" w:fill="auto"/>
                        <w:spacing w:after="0"/>
                        <w:rPr>
                          <w:i/>
                          <w:iCs/>
                        </w:rPr>
                      </w:pPr>
                    </w:p>
                    <w:p w:rsidR="00F1582F" w:rsidRDefault="00F1582F">
                      <w:pPr>
                        <w:pStyle w:val="Zkladntext1"/>
                        <w:shd w:val="clear" w:color="auto" w:fill="auto"/>
                        <w:spacing w:after="0"/>
                      </w:pPr>
                    </w:p>
                  </w:txbxContent>
                </v:textbox>
                <w10:wrap type="topAndBottom" anchorx="page"/>
              </v:shape>
            </w:pict>
          </mc:Fallback>
        </mc:AlternateContent>
      </w:r>
      <w:r w:rsidR="00F1582F">
        <w:rPr>
          <w:b/>
          <w:i w:val="0"/>
          <w:sz w:val="16"/>
          <w:szCs w:val="16"/>
        </w:rPr>
        <w:t xml:space="preserve">                </w:t>
      </w:r>
      <w:r w:rsidR="00F1582F" w:rsidRPr="00F1582F">
        <w:rPr>
          <w:b/>
          <w:i w:val="0"/>
          <w:sz w:val="16"/>
          <w:szCs w:val="16"/>
        </w:rPr>
        <w:t>NÁRODNI GALERIE V PRAZE</w:t>
      </w:r>
      <w:bookmarkStart w:id="5" w:name="_GoBack"/>
      <w:bookmarkEnd w:id="5"/>
    </w:p>
    <w:p w:rsidR="00F1582F" w:rsidRDefault="00F1582F" w:rsidP="00F1582F">
      <w:pPr>
        <w:pStyle w:val="Zkladntext30"/>
        <w:shd w:val="clear" w:color="auto" w:fill="auto"/>
        <w:ind w:left="708" w:firstLine="708"/>
        <w:jc w:val="cente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59"/>
        <w:gridCol w:w="1559"/>
        <w:gridCol w:w="3805"/>
        <w:gridCol w:w="950"/>
      </w:tblGrid>
      <w:tr w:rsidR="0070294C">
        <w:tblPrEx>
          <w:tblCellMar>
            <w:top w:w="0" w:type="dxa"/>
            <w:bottom w:w="0" w:type="dxa"/>
          </w:tblCellMar>
        </w:tblPrEx>
        <w:trPr>
          <w:trHeight w:hRule="exact" w:val="605"/>
          <w:jc w:val="center"/>
        </w:trPr>
        <w:tc>
          <w:tcPr>
            <w:tcW w:w="2459" w:type="dxa"/>
            <w:tcBorders>
              <w:top w:val="single" w:sz="4" w:space="0" w:color="auto"/>
            </w:tcBorders>
            <w:shd w:val="clear" w:color="auto" w:fill="FFFFFF"/>
            <w:vAlign w:val="bottom"/>
          </w:tcPr>
          <w:p w:rsidR="0070294C" w:rsidRDefault="0029224A">
            <w:pPr>
              <w:pStyle w:val="Jin0"/>
              <w:shd w:val="clear" w:color="auto" w:fill="auto"/>
              <w:spacing w:after="160" w:line="240" w:lineRule="auto"/>
              <w:jc w:val="left"/>
            </w:pPr>
            <w:r>
              <w:t>Podpis (oprávněný zástupce)</w:t>
            </w:r>
          </w:p>
          <w:p w:rsidR="0070294C" w:rsidRDefault="0029224A">
            <w:pPr>
              <w:pStyle w:val="Jin0"/>
              <w:shd w:val="clear" w:color="auto" w:fill="auto"/>
              <w:spacing w:after="0" w:line="240" w:lineRule="auto"/>
              <w:jc w:val="left"/>
            </w:pPr>
            <w:r>
              <w:t>M</w:t>
            </w:r>
            <w:r>
              <w:rPr>
                <w:color w:val="3E3E3F"/>
              </w:rPr>
              <w:t>a</w:t>
            </w:r>
            <w:r>
              <w:t xml:space="preserve">rcin </w:t>
            </w:r>
            <w:proofErr w:type="spellStart"/>
            <w:r>
              <w:t>Kr</w:t>
            </w:r>
            <w:r>
              <w:rPr>
                <w:color w:val="3E3E3F"/>
              </w:rPr>
              <w:t>z</w:t>
            </w:r>
            <w:r>
              <w:t>ak</w:t>
            </w:r>
            <w:proofErr w:type="spellEnd"/>
          </w:p>
        </w:tc>
        <w:tc>
          <w:tcPr>
            <w:tcW w:w="1559" w:type="dxa"/>
            <w:tcBorders>
              <w:top w:val="single" w:sz="4" w:space="0" w:color="auto"/>
            </w:tcBorders>
            <w:shd w:val="clear" w:color="auto" w:fill="FFFFFF"/>
          </w:tcPr>
          <w:p w:rsidR="0070294C" w:rsidRDefault="0070294C">
            <w:pPr>
              <w:rPr>
                <w:sz w:val="10"/>
                <w:szCs w:val="10"/>
              </w:rPr>
            </w:pPr>
          </w:p>
        </w:tc>
        <w:tc>
          <w:tcPr>
            <w:tcW w:w="3805" w:type="dxa"/>
            <w:tcBorders>
              <w:top w:val="single" w:sz="4" w:space="0" w:color="auto"/>
            </w:tcBorders>
            <w:shd w:val="clear" w:color="auto" w:fill="FFFFFF"/>
          </w:tcPr>
          <w:p w:rsidR="0070294C" w:rsidRDefault="0029224A">
            <w:pPr>
              <w:pStyle w:val="Jin0"/>
              <w:shd w:val="clear" w:color="auto" w:fill="auto"/>
              <w:spacing w:after="0" w:line="240" w:lineRule="auto"/>
              <w:ind w:left="1060" w:firstLine="20"/>
            </w:pPr>
            <w:r>
              <w:t>Podpis (oprávněný zás</w:t>
            </w:r>
            <w:r>
              <w:rPr>
                <w:color w:val="3E3E3F"/>
              </w:rPr>
              <w:t>t</w:t>
            </w:r>
            <w:r w:rsidR="00F1582F">
              <w:t>upce)</w:t>
            </w:r>
          </w:p>
          <w:p w:rsidR="00F1582F" w:rsidRDefault="00F1582F">
            <w:pPr>
              <w:pStyle w:val="Jin0"/>
              <w:shd w:val="clear" w:color="auto" w:fill="auto"/>
              <w:spacing w:after="0" w:line="240" w:lineRule="auto"/>
              <w:ind w:left="1060" w:firstLine="20"/>
            </w:pPr>
          </w:p>
          <w:p w:rsidR="00F1582F" w:rsidRDefault="00F1582F">
            <w:pPr>
              <w:pStyle w:val="Jin0"/>
              <w:shd w:val="clear" w:color="auto" w:fill="auto"/>
              <w:spacing w:after="0" w:line="240" w:lineRule="auto"/>
              <w:ind w:left="1060" w:firstLine="20"/>
            </w:pPr>
            <w:r>
              <w:t>Jiří Fajt</w:t>
            </w:r>
          </w:p>
        </w:tc>
        <w:tc>
          <w:tcPr>
            <w:tcW w:w="950" w:type="dxa"/>
            <w:tcBorders>
              <w:top w:val="single" w:sz="4" w:space="0" w:color="auto"/>
            </w:tcBorders>
            <w:shd w:val="clear" w:color="auto" w:fill="FFFFFF"/>
          </w:tcPr>
          <w:p w:rsidR="0070294C" w:rsidRDefault="0070294C">
            <w:pPr>
              <w:pStyle w:val="Jin0"/>
              <w:shd w:val="clear" w:color="auto" w:fill="auto"/>
              <w:spacing w:after="0" w:line="269" w:lineRule="auto"/>
              <w:ind w:left="720" w:hanging="540"/>
              <w:jc w:val="left"/>
              <w:rPr>
                <w:sz w:val="12"/>
                <w:szCs w:val="12"/>
              </w:rPr>
            </w:pPr>
          </w:p>
        </w:tc>
      </w:tr>
      <w:tr w:rsidR="0070294C">
        <w:tblPrEx>
          <w:tblCellMar>
            <w:top w:w="0" w:type="dxa"/>
            <w:bottom w:w="0" w:type="dxa"/>
          </w:tblCellMar>
        </w:tblPrEx>
        <w:trPr>
          <w:trHeight w:hRule="exact" w:val="205"/>
          <w:jc w:val="center"/>
        </w:trPr>
        <w:tc>
          <w:tcPr>
            <w:tcW w:w="2459" w:type="dxa"/>
            <w:tcBorders>
              <w:top w:val="single" w:sz="4" w:space="0" w:color="auto"/>
            </w:tcBorders>
            <w:shd w:val="clear" w:color="auto" w:fill="FFFFFF"/>
          </w:tcPr>
          <w:p w:rsidR="0070294C" w:rsidRDefault="0029224A">
            <w:pPr>
              <w:pStyle w:val="Jin0"/>
              <w:shd w:val="clear" w:color="auto" w:fill="auto"/>
              <w:spacing w:after="0" w:line="240" w:lineRule="auto"/>
              <w:jc w:val="left"/>
            </w:pPr>
            <w:r>
              <w:t>Jméno</w:t>
            </w:r>
          </w:p>
        </w:tc>
        <w:tc>
          <w:tcPr>
            <w:tcW w:w="1559" w:type="dxa"/>
            <w:tcBorders>
              <w:top w:val="single" w:sz="4" w:space="0" w:color="auto"/>
            </w:tcBorders>
            <w:shd w:val="clear" w:color="auto" w:fill="FFFFFF"/>
          </w:tcPr>
          <w:p w:rsidR="0070294C" w:rsidRDefault="0070294C">
            <w:pPr>
              <w:rPr>
                <w:sz w:val="10"/>
                <w:szCs w:val="10"/>
              </w:rPr>
            </w:pPr>
          </w:p>
        </w:tc>
        <w:tc>
          <w:tcPr>
            <w:tcW w:w="3805" w:type="dxa"/>
            <w:tcBorders>
              <w:top w:val="single" w:sz="4" w:space="0" w:color="auto"/>
            </w:tcBorders>
            <w:shd w:val="clear" w:color="auto" w:fill="FFFFFF"/>
          </w:tcPr>
          <w:p w:rsidR="0070294C" w:rsidRDefault="00F1582F">
            <w:pPr>
              <w:pStyle w:val="Jin0"/>
              <w:shd w:val="clear" w:color="auto" w:fill="auto"/>
              <w:tabs>
                <w:tab w:val="left" w:pos="1987"/>
              </w:tabs>
              <w:spacing w:after="0" w:line="240" w:lineRule="auto"/>
              <w:ind w:left="1060" w:firstLine="20"/>
            </w:pPr>
            <w:r>
              <w:t>Jméno</w:t>
            </w:r>
            <w:r>
              <w:tab/>
            </w:r>
          </w:p>
        </w:tc>
        <w:tc>
          <w:tcPr>
            <w:tcW w:w="950" w:type="dxa"/>
            <w:tcBorders>
              <w:top w:val="single" w:sz="4" w:space="0" w:color="auto"/>
            </w:tcBorders>
            <w:shd w:val="clear" w:color="auto" w:fill="FFFFFF"/>
          </w:tcPr>
          <w:p w:rsidR="0070294C" w:rsidRDefault="0070294C">
            <w:pPr>
              <w:rPr>
                <w:sz w:val="10"/>
                <w:szCs w:val="10"/>
              </w:rPr>
            </w:pPr>
          </w:p>
        </w:tc>
      </w:tr>
      <w:tr w:rsidR="0070294C">
        <w:tblPrEx>
          <w:tblCellMar>
            <w:top w:w="0" w:type="dxa"/>
            <w:bottom w:w="0" w:type="dxa"/>
          </w:tblCellMar>
        </w:tblPrEx>
        <w:trPr>
          <w:trHeight w:hRule="exact" w:val="335"/>
          <w:jc w:val="center"/>
        </w:trPr>
        <w:tc>
          <w:tcPr>
            <w:tcW w:w="2459" w:type="dxa"/>
            <w:shd w:val="clear" w:color="auto" w:fill="FFFFFF"/>
            <w:vAlign w:val="bottom"/>
          </w:tcPr>
          <w:p w:rsidR="0070294C" w:rsidRDefault="0029224A">
            <w:pPr>
              <w:pStyle w:val="Jin0"/>
              <w:shd w:val="clear" w:color="auto" w:fill="auto"/>
              <w:spacing w:after="0" w:line="240" w:lineRule="auto"/>
              <w:jc w:val="left"/>
            </w:pPr>
            <w:r>
              <w:t>Zmocněnec</w:t>
            </w:r>
          </w:p>
        </w:tc>
        <w:tc>
          <w:tcPr>
            <w:tcW w:w="1559" w:type="dxa"/>
            <w:shd w:val="clear" w:color="auto" w:fill="FFFFFF"/>
          </w:tcPr>
          <w:p w:rsidR="0070294C" w:rsidRDefault="0070294C">
            <w:pPr>
              <w:rPr>
                <w:sz w:val="10"/>
                <w:szCs w:val="10"/>
              </w:rPr>
            </w:pPr>
          </w:p>
        </w:tc>
        <w:tc>
          <w:tcPr>
            <w:tcW w:w="3805" w:type="dxa"/>
            <w:shd w:val="clear" w:color="auto" w:fill="FFFFFF"/>
            <w:vAlign w:val="bottom"/>
          </w:tcPr>
          <w:p w:rsidR="0070294C" w:rsidRPr="00F1582F" w:rsidRDefault="00F1582F">
            <w:pPr>
              <w:pStyle w:val="Jin0"/>
              <w:shd w:val="clear" w:color="auto" w:fill="auto"/>
              <w:spacing w:after="0" w:line="240" w:lineRule="auto"/>
              <w:ind w:left="1140"/>
              <w:jc w:val="left"/>
            </w:pPr>
            <w:r w:rsidRPr="00F1582F">
              <w:t>Generální ředitel</w:t>
            </w:r>
          </w:p>
        </w:tc>
        <w:tc>
          <w:tcPr>
            <w:tcW w:w="950" w:type="dxa"/>
            <w:shd w:val="clear" w:color="auto" w:fill="FFFFFF"/>
          </w:tcPr>
          <w:p w:rsidR="0070294C" w:rsidRDefault="0070294C">
            <w:pPr>
              <w:rPr>
                <w:sz w:val="10"/>
                <w:szCs w:val="10"/>
              </w:rPr>
            </w:pPr>
          </w:p>
        </w:tc>
      </w:tr>
      <w:tr w:rsidR="0070294C">
        <w:tblPrEx>
          <w:tblCellMar>
            <w:top w:w="0" w:type="dxa"/>
            <w:bottom w:w="0" w:type="dxa"/>
          </w:tblCellMar>
        </w:tblPrEx>
        <w:trPr>
          <w:trHeight w:hRule="exact" w:val="162"/>
          <w:jc w:val="center"/>
        </w:trPr>
        <w:tc>
          <w:tcPr>
            <w:tcW w:w="2459" w:type="dxa"/>
            <w:tcBorders>
              <w:top w:val="single" w:sz="4" w:space="0" w:color="auto"/>
            </w:tcBorders>
            <w:shd w:val="clear" w:color="auto" w:fill="FFFFFF"/>
            <w:vAlign w:val="bottom"/>
          </w:tcPr>
          <w:p w:rsidR="0070294C" w:rsidRDefault="0029224A">
            <w:pPr>
              <w:pStyle w:val="Jin0"/>
              <w:shd w:val="clear" w:color="auto" w:fill="auto"/>
              <w:spacing w:after="0" w:line="240" w:lineRule="auto"/>
              <w:jc w:val="left"/>
            </w:pPr>
            <w:r>
              <w:t>Funkce</w:t>
            </w:r>
          </w:p>
        </w:tc>
        <w:tc>
          <w:tcPr>
            <w:tcW w:w="1559" w:type="dxa"/>
            <w:tcBorders>
              <w:top w:val="single" w:sz="4" w:space="0" w:color="auto"/>
            </w:tcBorders>
            <w:shd w:val="clear" w:color="auto" w:fill="FFFFFF"/>
          </w:tcPr>
          <w:p w:rsidR="0070294C" w:rsidRDefault="0070294C">
            <w:pPr>
              <w:rPr>
                <w:sz w:val="10"/>
                <w:szCs w:val="10"/>
              </w:rPr>
            </w:pPr>
          </w:p>
        </w:tc>
        <w:tc>
          <w:tcPr>
            <w:tcW w:w="3805" w:type="dxa"/>
            <w:tcBorders>
              <w:top w:val="single" w:sz="4" w:space="0" w:color="auto"/>
            </w:tcBorders>
            <w:shd w:val="clear" w:color="auto" w:fill="FFFFFF"/>
            <w:vAlign w:val="bottom"/>
          </w:tcPr>
          <w:p w:rsidR="0070294C" w:rsidRDefault="0029224A">
            <w:pPr>
              <w:pStyle w:val="Jin0"/>
              <w:shd w:val="clear" w:color="auto" w:fill="auto"/>
              <w:spacing w:after="0" w:line="240" w:lineRule="auto"/>
              <w:ind w:left="1060" w:firstLine="20"/>
            </w:pPr>
            <w:r>
              <w:t>Funkce</w:t>
            </w:r>
          </w:p>
        </w:tc>
        <w:tc>
          <w:tcPr>
            <w:tcW w:w="950" w:type="dxa"/>
            <w:tcBorders>
              <w:top w:val="single" w:sz="4" w:space="0" w:color="auto"/>
            </w:tcBorders>
            <w:shd w:val="clear" w:color="auto" w:fill="FFFFFF"/>
          </w:tcPr>
          <w:p w:rsidR="0070294C" w:rsidRDefault="0070294C">
            <w:pPr>
              <w:rPr>
                <w:sz w:val="10"/>
                <w:szCs w:val="10"/>
              </w:rPr>
            </w:pPr>
          </w:p>
        </w:tc>
      </w:tr>
      <w:tr w:rsidR="0070294C">
        <w:tblPrEx>
          <w:tblCellMar>
            <w:top w:w="0" w:type="dxa"/>
            <w:bottom w:w="0" w:type="dxa"/>
          </w:tblCellMar>
        </w:tblPrEx>
        <w:trPr>
          <w:trHeight w:hRule="exact" w:val="396"/>
          <w:jc w:val="center"/>
        </w:trPr>
        <w:tc>
          <w:tcPr>
            <w:tcW w:w="2459" w:type="dxa"/>
            <w:tcBorders>
              <w:bottom w:val="single" w:sz="4" w:space="0" w:color="auto"/>
            </w:tcBorders>
            <w:shd w:val="clear" w:color="auto" w:fill="FFFFFF"/>
          </w:tcPr>
          <w:p w:rsidR="0070294C" w:rsidRPr="00F1582F" w:rsidRDefault="00F1582F">
            <w:pPr>
              <w:pStyle w:val="Jin0"/>
              <w:shd w:val="clear" w:color="auto" w:fill="auto"/>
              <w:spacing w:before="100" w:after="0" w:line="240" w:lineRule="auto"/>
              <w:ind w:left="980"/>
              <w:jc w:val="left"/>
              <w:rPr>
                <w:sz w:val="20"/>
                <w:szCs w:val="20"/>
              </w:rPr>
            </w:pPr>
            <w:r>
              <w:rPr>
                <w:sz w:val="20"/>
                <w:szCs w:val="20"/>
              </w:rPr>
              <w:t>31/5/18</w:t>
            </w:r>
          </w:p>
        </w:tc>
        <w:tc>
          <w:tcPr>
            <w:tcW w:w="1559" w:type="dxa"/>
            <w:tcBorders>
              <w:bottom w:val="single" w:sz="4" w:space="0" w:color="auto"/>
            </w:tcBorders>
            <w:shd w:val="clear" w:color="auto" w:fill="FFFFFF"/>
          </w:tcPr>
          <w:p w:rsidR="0070294C" w:rsidRDefault="0070294C">
            <w:pPr>
              <w:rPr>
                <w:sz w:val="10"/>
                <w:szCs w:val="10"/>
              </w:rPr>
            </w:pPr>
          </w:p>
        </w:tc>
        <w:tc>
          <w:tcPr>
            <w:tcW w:w="3805" w:type="dxa"/>
            <w:tcBorders>
              <w:bottom w:val="single" w:sz="4" w:space="0" w:color="auto"/>
            </w:tcBorders>
            <w:shd w:val="clear" w:color="auto" w:fill="FFFFFF"/>
          </w:tcPr>
          <w:p w:rsidR="0070294C" w:rsidRPr="00F1582F" w:rsidRDefault="00F1582F">
            <w:pPr>
              <w:pStyle w:val="Jin0"/>
              <w:shd w:val="clear" w:color="auto" w:fill="auto"/>
              <w:spacing w:after="0" w:line="240" w:lineRule="auto"/>
              <w:ind w:right="100"/>
              <w:jc w:val="center"/>
              <w:rPr>
                <w:sz w:val="20"/>
                <w:szCs w:val="20"/>
              </w:rPr>
            </w:pPr>
            <w:r>
              <w:rPr>
                <w:sz w:val="20"/>
                <w:szCs w:val="20"/>
              </w:rPr>
              <w:t>7. 6. 2018</w:t>
            </w:r>
          </w:p>
        </w:tc>
        <w:tc>
          <w:tcPr>
            <w:tcW w:w="950" w:type="dxa"/>
            <w:tcBorders>
              <w:bottom w:val="single" w:sz="4" w:space="0" w:color="auto"/>
            </w:tcBorders>
            <w:shd w:val="clear" w:color="auto" w:fill="FFFFFF"/>
          </w:tcPr>
          <w:p w:rsidR="0070294C" w:rsidRDefault="0070294C">
            <w:pPr>
              <w:rPr>
                <w:sz w:val="10"/>
                <w:szCs w:val="10"/>
              </w:rPr>
            </w:pPr>
          </w:p>
        </w:tc>
      </w:tr>
    </w:tbl>
    <w:p w:rsidR="0070294C" w:rsidRDefault="0070294C">
      <w:pPr>
        <w:spacing w:line="14" w:lineRule="exact"/>
      </w:pPr>
    </w:p>
    <w:sectPr w:rsidR="0070294C">
      <w:footerReference w:type="default" r:id="rId8"/>
      <w:pgSz w:w="11900" w:h="16840"/>
      <w:pgMar w:top="1529" w:right="1843" w:bottom="2410" w:left="1283" w:header="110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24A" w:rsidRDefault="0029224A">
      <w:r>
        <w:separator/>
      </w:r>
    </w:p>
  </w:endnote>
  <w:endnote w:type="continuationSeparator" w:id="0">
    <w:p w:rsidR="0029224A" w:rsidRDefault="0029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94C" w:rsidRDefault="0029224A">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848995</wp:posOffset>
              </wp:positionH>
              <wp:positionV relativeFrom="page">
                <wp:posOffset>9049385</wp:posOffset>
              </wp:positionV>
              <wp:extent cx="382651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3826510" cy="91440"/>
                      </a:xfrm>
                      <a:prstGeom prst="rect">
                        <a:avLst/>
                      </a:prstGeom>
                      <a:noFill/>
                    </wps:spPr>
                    <wps:txbx>
                      <w:txbxContent>
                        <w:p w:rsidR="0070294C" w:rsidRDefault="0029224A">
                          <w:pPr>
                            <w:pStyle w:val="Zhlavnebozpat20"/>
                            <w:shd w:val="clear" w:color="auto" w:fill="auto"/>
                            <w:tabs>
                              <w:tab w:val="right" w:pos="6026"/>
                            </w:tabs>
                            <w:rPr>
                              <w:sz w:val="16"/>
                              <w:szCs w:val="16"/>
                            </w:rPr>
                          </w:pPr>
                          <w:r>
                            <w:rPr>
                              <w:sz w:val="16"/>
                              <w:szCs w:val="16"/>
                            </w:rPr>
                            <w:t>Datum podpisu</w:t>
                          </w:r>
                          <w:r>
                            <w:rPr>
                              <w:sz w:val="16"/>
                              <w:szCs w:val="16"/>
                            </w:rPr>
                            <w:tab/>
                            <w:t>Datum podpisu</w:t>
                          </w:r>
                        </w:p>
                      </w:txbxContent>
                    </wps:txbx>
                    <wps:bodyPr lIns="0" tIns="0" rIns="0" bIns="0">
                      <a:spAutoFit/>
                    </wps:bodyPr>
                  </wps:wsp>
                </a:graphicData>
              </a:graphic>
            </wp:anchor>
          </w:drawing>
        </mc:Choice>
        <mc:Fallback>
          <w:pict>
            <v:shape id="_x0000_s1035" type="#_x0000_t202" style="position:absolute;margin-left:66.849999999999994pt;margin-top:712.54999999999995pt;width:301.30000000000001pt;height:7.2000000000000002pt;z-index:-188744063;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tabs>
                        <w:tab w:pos="6026" w:val="righ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Datum podpisu</w:t>
                      <w:tab/>
                      <w:t>Datum podpisu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24A" w:rsidRDefault="0029224A"/>
  </w:footnote>
  <w:footnote w:type="continuationSeparator" w:id="0">
    <w:p w:rsidR="0029224A" w:rsidRDefault="0029224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62B70"/>
    <w:multiLevelType w:val="multilevel"/>
    <w:tmpl w:val="633A101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4220F"/>
    <w:multiLevelType w:val="multilevel"/>
    <w:tmpl w:val="7FEC0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C20BA9"/>
    <w:multiLevelType w:val="multilevel"/>
    <w:tmpl w:val="056AF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B359EE"/>
    <w:multiLevelType w:val="multilevel"/>
    <w:tmpl w:val="79981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8B0342"/>
    <w:multiLevelType w:val="multilevel"/>
    <w:tmpl w:val="74742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4C"/>
    <w:rsid w:val="0029224A"/>
    <w:rsid w:val="0070294C"/>
    <w:rsid w:val="00F158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231C9"/>
  <w15:docId w15:val="{958748A5-826C-4C6D-9E1A-DEE57037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6"/>
      <w:szCs w:val="16"/>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6"/>
      <w:szCs w:val="16"/>
      <w:u w:val="none"/>
    </w:rPr>
  </w:style>
  <w:style w:type="paragraph" w:customStyle="1" w:styleId="Zkladntext20">
    <w:name w:val="Základní text (2)"/>
    <w:basedOn w:val="Normln"/>
    <w:link w:val="Zkladntext2"/>
    <w:pPr>
      <w:shd w:val="clear" w:color="auto" w:fill="FFFFFF"/>
      <w:jc w:val="both"/>
    </w:pPr>
    <w:rPr>
      <w:rFonts w:ascii="Arial" w:eastAsia="Arial" w:hAnsi="Arial" w:cs="Arial"/>
      <w:sz w:val="15"/>
      <w:szCs w:val="15"/>
    </w:rPr>
  </w:style>
  <w:style w:type="paragraph" w:customStyle="1" w:styleId="Nadpis10">
    <w:name w:val="Nadpis #1"/>
    <w:basedOn w:val="Normln"/>
    <w:link w:val="Nadpis1"/>
    <w:pPr>
      <w:shd w:val="clear" w:color="auto" w:fill="FFFFFF"/>
      <w:spacing w:after="380"/>
      <w:jc w:val="both"/>
      <w:outlineLvl w:val="0"/>
    </w:pPr>
    <w:rPr>
      <w:rFonts w:ascii="Arial" w:eastAsia="Arial" w:hAnsi="Arial" w:cs="Arial"/>
      <w:b/>
      <w:bCs/>
      <w:sz w:val="26"/>
      <w:szCs w:val="26"/>
    </w:rPr>
  </w:style>
  <w:style w:type="paragraph" w:customStyle="1" w:styleId="Zkladntext1">
    <w:name w:val="Základní text1"/>
    <w:basedOn w:val="Normln"/>
    <w:link w:val="Zkladntext"/>
    <w:pPr>
      <w:shd w:val="clear" w:color="auto" w:fill="FFFFFF"/>
      <w:spacing w:after="120" w:line="266" w:lineRule="auto"/>
      <w:jc w:val="both"/>
    </w:pPr>
    <w:rPr>
      <w:rFonts w:ascii="Times New Roman" w:eastAsia="Times New Roman" w:hAnsi="Times New Roman" w:cs="Times New Roman"/>
      <w:sz w:val="16"/>
      <w:szCs w:val="16"/>
    </w:rPr>
  </w:style>
  <w:style w:type="paragraph" w:customStyle="1" w:styleId="Nadpis20">
    <w:name w:val="Nadpis #2"/>
    <w:basedOn w:val="Normln"/>
    <w:link w:val="Nadpis2"/>
    <w:pPr>
      <w:shd w:val="clear" w:color="auto" w:fill="FFFFFF"/>
      <w:spacing w:after="120" w:line="264" w:lineRule="auto"/>
      <w:jc w:val="both"/>
      <w:outlineLvl w:val="1"/>
    </w:pPr>
    <w:rPr>
      <w:rFonts w:ascii="Times New Roman" w:eastAsia="Times New Roman" w:hAnsi="Times New Roman" w:cs="Times New Roman"/>
      <w:b/>
      <w:bCs/>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120"/>
      <w:ind w:right="160"/>
      <w:jc w:val="right"/>
    </w:pPr>
    <w:rPr>
      <w:rFonts w:ascii="Arial" w:eastAsia="Arial" w:hAnsi="Arial" w:cs="Arial"/>
      <w:i/>
      <w:iCs/>
    </w:rPr>
  </w:style>
  <w:style w:type="paragraph" w:customStyle="1" w:styleId="Jin0">
    <w:name w:val="Jiné"/>
    <w:basedOn w:val="Normln"/>
    <w:link w:val="Jin"/>
    <w:pPr>
      <w:shd w:val="clear" w:color="auto" w:fill="FFFFFF"/>
      <w:spacing w:after="120" w:line="266" w:lineRule="auto"/>
      <w:jc w:val="both"/>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1295</Words>
  <Characters>7642</Characters>
  <Application>Microsoft Office Word</Application>
  <DocSecurity>0</DocSecurity>
  <Lines>63</Lines>
  <Paragraphs>17</Paragraphs>
  <ScaleCrop>false</ScaleCrop>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kopirka1.PK-20180608135503</dc:title>
  <dc:subject/>
  <dc:creator/>
  <cp:keywords/>
  <cp:lastModifiedBy>Zdenka Šímová</cp:lastModifiedBy>
  <cp:revision>2</cp:revision>
  <dcterms:created xsi:type="dcterms:W3CDTF">2018-06-08T12:18:00Z</dcterms:created>
  <dcterms:modified xsi:type="dcterms:W3CDTF">2018-06-08T12:27:00Z</dcterms:modified>
</cp:coreProperties>
</file>