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04" w:rsidRPr="003C3E23" w:rsidRDefault="00123E52" w:rsidP="00607E04">
      <w:pPr>
        <w:widowControl w:val="0"/>
        <w:tabs>
          <w:tab w:val="left" w:pos="567"/>
        </w:tabs>
        <w:spacing w:before="0" w:after="0" w:line="240" w:lineRule="auto"/>
        <w:jc w:val="center"/>
        <w:rPr>
          <w:rFonts w:cs="Arial"/>
          <w:b/>
          <w:sz w:val="20"/>
          <w:szCs w:val="24"/>
          <w:lang w:eastAsia="cs-CZ"/>
        </w:rPr>
      </w:pPr>
      <w:r>
        <w:rPr>
          <w:rFonts w:cs="Arial"/>
          <w:b/>
          <w:sz w:val="20"/>
          <w:szCs w:val="24"/>
          <w:lang w:eastAsia="cs-CZ"/>
        </w:rPr>
        <w:t>SMLOUVA O DÍLO   č.  …</w:t>
      </w:r>
      <w:r w:rsidR="0000679F">
        <w:rPr>
          <w:rFonts w:cs="Arial"/>
          <w:b/>
          <w:sz w:val="20"/>
          <w:szCs w:val="24"/>
          <w:lang w:eastAsia="cs-CZ"/>
        </w:rPr>
        <w:t>1</w:t>
      </w:r>
      <w:bookmarkStart w:id="0" w:name="_GoBack"/>
      <w:bookmarkEnd w:id="0"/>
      <w:r>
        <w:rPr>
          <w:rFonts w:cs="Arial"/>
          <w:b/>
          <w:sz w:val="20"/>
          <w:szCs w:val="24"/>
          <w:lang w:eastAsia="cs-CZ"/>
        </w:rPr>
        <w:t>……</w:t>
      </w:r>
      <w:proofErr w:type="gramStart"/>
      <w:r>
        <w:rPr>
          <w:rFonts w:cs="Arial"/>
          <w:b/>
          <w:sz w:val="20"/>
          <w:szCs w:val="24"/>
          <w:lang w:eastAsia="cs-CZ"/>
        </w:rPr>
        <w:t>…./2018</w:t>
      </w:r>
      <w:proofErr w:type="gramEnd"/>
    </w:p>
    <w:p w:rsidR="00607E04" w:rsidRPr="003C3E23" w:rsidRDefault="00607E04" w:rsidP="00607E04">
      <w:pPr>
        <w:widowControl w:val="0"/>
        <w:spacing w:before="0" w:after="0" w:line="240" w:lineRule="auto"/>
        <w:jc w:val="center"/>
        <w:rPr>
          <w:rFonts w:cs="Arial"/>
          <w:b/>
          <w:lang w:eastAsia="cs-CZ"/>
        </w:rPr>
      </w:pPr>
      <w:r w:rsidRPr="003C3E23">
        <w:rPr>
          <w:rFonts w:cs="Arial"/>
          <w:b/>
          <w:lang w:eastAsia="cs-CZ"/>
        </w:rPr>
        <w:t xml:space="preserve">o zajištění žádosti o dotaci a souvisejících služeb z programu IROP pro akci:  </w:t>
      </w:r>
    </w:p>
    <w:p w:rsidR="00607E04" w:rsidRPr="00537606" w:rsidRDefault="00607E04" w:rsidP="00607E04">
      <w:pPr>
        <w:widowControl w:val="0"/>
        <w:spacing w:before="0" w:after="0" w:line="240" w:lineRule="auto"/>
        <w:jc w:val="center"/>
        <w:rPr>
          <w:rFonts w:cs="Arial"/>
          <w:b/>
          <w:lang w:eastAsia="cs-CZ"/>
        </w:rPr>
      </w:pPr>
      <w:r w:rsidRPr="00537606">
        <w:rPr>
          <w:rFonts w:cs="Arial"/>
          <w:b/>
          <w:lang w:eastAsia="cs-CZ"/>
        </w:rPr>
        <w:t>Zpracování žádosti o dotaci včetně administrace projektu</w:t>
      </w:r>
    </w:p>
    <w:p w:rsidR="00607E04" w:rsidRPr="003C3E23" w:rsidRDefault="00607E04" w:rsidP="00607E04">
      <w:pPr>
        <w:widowControl w:val="0"/>
        <w:spacing w:before="0" w:after="0" w:line="240" w:lineRule="auto"/>
        <w:jc w:val="center"/>
        <w:rPr>
          <w:rFonts w:cs="Arial"/>
          <w:lang w:eastAsia="cs-CZ"/>
        </w:rPr>
      </w:pPr>
      <w:r w:rsidRPr="003C3E23">
        <w:rPr>
          <w:rFonts w:cs="Arial"/>
          <w:lang w:eastAsia="cs-CZ"/>
        </w:rPr>
        <w:t>uzavřená podle § 2586 a následujících</w:t>
      </w:r>
    </w:p>
    <w:p w:rsidR="00607E04" w:rsidRPr="003C3E23" w:rsidRDefault="00607E04" w:rsidP="00607E04">
      <w:pPr>
        <w:widowControl w:val="0"/>
        <w:pBdr>
          <w:bottom w:val="single" w:sz="12" w:space="1" w:color="auto"/>
        </w:pBdr>
        <w:spacing w:before="0" w:after="0" w:line="240" w:lineRule="auto"/>
        <w:jc w:val="center"/>
        <w:rPr>
          <w:rFonts w:cs="Arial"/>
          <w:lang w:eastAsia="cs-CZ"/>
        </w:rPr>
      </w:pPr>
      <w:r w:rsidRPr="003C3E23">
        <w:rPr>
          <w:rFonts w:cs="Arial"/>
          <w:lang w:eastAsia="cs-CZ"/>
        </w:rPr>
        <w:t>zákona č. 89/2012 Sb., občanský zákoník (dále jen občanský zákoník)</w:t>
      </w:r>
    </w:p>
    <w:p w:rsidR="00607E04" w:rsidRPr="003C3E23" w:rsidRDefault="00607E04" w:rsidP="00607E04">
      <w:pPr>
        <w:widowControl w:val="0"/>
        <w:spacing w:before="0" w:after="0" w:line="240" w:lineRule="auto"/>
        <w:jc w:val="both"/>
        <w:rPr>
          <w:rFonts w:cs="Arial"/>
          <w:b/>
          <w:lang w:eastAsia="cs-CZ"/>
        </w:rPr>
      </w:pPr>
    </w:p>
    <w:p w:rsidR="00607E04" w:rsidRPr="003C3E23" w:rsidRDefault="00607E04" w:rsidP="00607E04">
      <w:pPr>
        <w:widowControl w:val="0"/>
        <w:spacing w:before="0" w:after="0" w:line="240" w:lineRule="auto"/>
        <w:jc w:val="center"/>
        <w:outlineLvl w:val="0"/>
        <w:rPr>
          <w:rFonts w:cs="Arial"/>
          <w:b/>
          <w:i/>
          <w:lang w:eastAsia="cs-CZ"/>
        </w:rPr>
      </w:pPr>
      <w:bookmarkStart w:id="1" w:name="_Toc442813381"/>
      <w:bookmarkStart w:id="2" w:name="_Toc443256882"/>
      <w:bookmarkStart w:id="3" w:name="_Toc464633884"/>
      <w:bookmarkStart w:id="4" w:name="_Toc464636960"/>
      <w:bookmarkStart w:id="5" w:name="_Toc465975233"/>
      <w:r w:rsidRPr="003C3E23">
        <w:rPr>
          <w:rFonts w:cs="Arial"/>
          <w:b/>
          <w:i/>
          <w:lang w:eastAsia="cs-CZ"/>
        </w:rPr>
        <w:t>I. Smluvní strany</w:t>
      </w:r>
      <w:bookmarkEnd w:id="1"/>
      <w:bookmarkEnd w:id="2"/>
      <w:bookmarkEnd w:id="3"/>
      <w:bookmarkEnd w:id="4"/>
      <w:bookmarkEnd w:id="5"/>
      <w:r w:rsidRPr="003C3E23">
        <w:rPr>
          <w:rFonts w:cs="Arial"/>
          <w:b/>
          <w:i/>
          <w:lang w:eastAsia="cs-CZ"/>
        </w:rPr>
        <w:t xml:space="preserve"> </w:t>
      </w:r>
    </w:p>
    <w:p w:rsidR="00607E04" w:rsidRPr="003C3E23" w:rsidRDefault="00607E04" w:rsidP="00607E04">
      <w:pPr>
        <w:widowControl w:val="0"/>
        <w:spacing w:before="0" w:after="0" w:line="240" w:lineRule="auto"/>
        <w:jc w:val="center"/>
        <w:rPr>
          <w:rFonts w:cs="Arial"/>
          <w:b/>
          <w:i/>
          <w:lang w:eastAsia="cs-CZ"/>
        </w:rPr>
      </w:pPr>
    </w:p>
    <w:p w:rsidR="00821988" w:rsidRPr="00821988" w:rsidRDefault="00821988" w:rsidP="00821988">
      <w:pPr>
        <w:widowControl w:val="0"/>
        <w:spacing w:before="0" w:after="0" w:line="240" w:lineRule="auto"/>
        <w:jc w:val="both"/>
        <w:rPr>
          <w:rFonts w:cs="Arial"/>
          <w:b/>
          <w:lang w:eastAsia="cs-CZ"/>
        </w:rPr>
      </w:pPr>
      <w:bookmarkStart w:id="6" w:name="_Toc442813382"/>
      <w:bookmarkStart w:id="7" w:name="_Toc443256883"/>
      <w:bookmarkStart w:id="8" w:name="_Toc464633885"/>
      <w:bookmarkStart w:id="9" w:name="_Toc464636961"/>
      <w:r w:rsidRPr="00821988">
        <w:rPr>
          <w:rFonts w:cs="Arial"/>
          <w:b/>
          <w:lang w:eastAsia="cs-CZ"/>
        </w:rPr>
        <w:t>OBJEDNATEL:</w:t>
      </w:r>
      <w:r w:rsidRPr="00821988">
        <w:rPr>
          <w:rFonts w:cs="Arial"/>
          <w:b/>
          <w:lang w:eastAsia="cs-CZ"/>
        </w:rPr>
        <w:tab/>
      </w:r>
      <w:bookmarkEnd w:id="6"/>
      <w:bookmarkEnd w:id="7"/>
      <w:bookmarkEnd w:id="8"/>
      <w:bookmarkEnd w:id="9"/>
      <w:r w:rsidRPr="00821988">
        <w:rPr>
          <w:rFonts w:cs="Arial"/>
          <w:b/>
          <w:bCs/>
          <w:lang w:eastAsia="cs-CZ"/>
        </w:rPr>
        <w:t xml:space="preserve">Základní škola Rudolfa </w:t>
      </w:r>
      <w:proofErr w:type="spellStart"/>
      <w:r w:rsidRPr="00821988">
        <w:rPr>
          <w:rFonts w:cs="Arial"/>
          <w:b/>
          <w:bCs/>
          <w:lang w:eastAsia="cs-CZ"/>
        </w:rPr>
        <w:t>Koblice</w:t>
      </w:r>
      <w:proofErr w:type="spellEnd"/>
      <w:r w:rsidRPr="00821988">
        <w:rPr>
          <w:rFonts w:cs="Arial"/>
          <w:b/>
          <w:bCs/>
          <w:lang w:eastAsia="cs-CZ"/>
        </w:rPr>
        <w:t>, Pionýrů 1102, Kadaň</w:t>
      </w:r>
    </w:p>
    <w:p w:rsidR="00821988" w:rsidRPr="00821988" w:rsidRDefault="00821988" w:rsidP="00821988">
      <w:pPr>
        <w:widowControl w:val="0"/>
        <w:spacing w:before="0" w:after="0" w:line="240" w:lineRule="auto"/>
        <w:jc w:val="both"/>
        <w:rPr>
          <w:rFonts w:cs="Arial"/>
          <w:b/>
          <w:lang w:eastAsia="cs-CZ"/>
        </w:rPr>
      </w:pPr>
      <w:bookmarkStart w:id="10" w:name="_Toc464633886"/>
      <w:bookmarkStart w:id="11" w:name="_Toc464636962"/>
      <w:r w:rsidRPr="00821988">
        <w:rPr>
          <w:rFonts w:cs="Arial"/>
          <w:b/>
          <w:lang w:eastAsia="cs-CZ"/>
        </w:rPr>
        <w:t>Zastoupený:</w:t>
      </w:r>
      <w:bookmarkEnd w:id="10"/>
      <w:bookmarkEnd w:id="11"/>
      <w:r w:rsidRPr="00821988">
        <w:rPr>
          <w:rFonts w:cs="Arial"/>
          <w:b/>
          <w:lang w:eastAsia="cs-CZ"/>
        </w:rPr>
        <w:tab/>
      </w:r>
      <w:r w:rsidRPr="00821988">
        <w:rPr>
          <w:rFonts w:cs="Arial"/>
          <w:b/>
          <w:lang w:eastAsia="cs-CZ"/>
        </w:rPr>
        <w:tab/>
        <w:t>Mgr. Stanislav Hakl, ředitel</w:t>
      </w:r>
    </w:p>
    <w:p w:rsidR="00821988" w:rsidRPr="00821988" w:rsidRDefault="00821988" w:rsidP="00821988">
      <w:pPr>
        <w:widowControl w:val="0"/>
        <w:spacing w:before="0" w:after="0" w:line="240" w:lineRule="auto"/>
        <w:jc w:val="both"/>
        <w:rPr>
          <w:rFonts w:cs="Arial"/>
          <w:b/>
          <w:lang w:eastAsia="cs-CZ"/>
        </w:rPr>
      </w:pPr>
      <w:r w:rsidRPr="00821988">
        <w:rPr>
          <w:rFonts w:cs="Arial"/>
          <w:b/>
          <w:lang w:eastAsia="cs-CZ"/>
        </w:rPr>
        <w:t>Sídlo:</w:t>
      </w:r>
      <w:r w:rsidRPr="00821988">
        <w:rPr>
          <w:rFonts w:cs="Arial"/>
          <w:b/>
          <w:lang w:eastAsia="cs-CZ"/>
        </w:rPr>
        <w:tab/>
      </w:r>
      <w:r w:rsidRPr="00821988">
        <w:rPr>
          <w:rFonts w:cs="Arial"/>
          <w:b/>
          <w:lang w:eastAsia="cs-CZ"/>
        </w:rPr>
        <w:tab/>
      </w:r>
      <w:r w:rsidRPr="00821988">
        <w:rPr>
          <w:rFonts w:cs="Arial"/>
          <w:b/>
          <w:lang w:eastAsia="cs-CZ"/>
        </w:rPr>
        <w:tab/>
        <w:t>Pionýrů 1102, 43201 Kadaň</w:t>
      </w:r>
    </w:p>
    <w:p w:rsidR="00821988" w:rsidRPr="00821988" w:rsidRDefault="00821988" w:rsidP="00821988">
      <w:pPr>
        <w:widowControl w:val="0"/>
        <w:spacing w:before="0" w:after="0" w:line="240" w:lineRule="auto"/>
        <w:jc w:val="both"/>
        <w:rPr>
          <w:rFonts w:cs="Arial"/>
          <w:b/>
          <w:lang w:eastAsia="cs-CZ"/>
        </w:rPr>
      </w:pPr>
      <w:r w:rsidRPr="00821988">
        <w:rPr>
          <w:rFonts w:cs="Arial"/>
          <w:b/>
          <w:lang w:eastAsia="cs-CZ"/>
        </w:rPr>
        <w:t>IČ / DIČ:</w:t>
      </w:r>
      <w:r w:rsidRPr="00821988">
        <w:rPr>
          <w:rFonts w:cs="Arial"/>
          <w:b/>
          <w:lang w:eastAsia="cs-CZ"/>
        </w:rPr>
        <w:tab/>
      </w:r>
      <w:r w:rsidRPr="00821988">
        <w:rPr>
          <w:rFonts w:cs="Arial"/>
          <w:b/>
          <w:lang w:eastAsia="cs-CZ"/>
        </w:rPr>
        <w:tab/>
        <w:t>46789987</w:t>
      </w:r>
    </w:p>
    <w:p w:rsidR="00607E04" w:rsidRPr="003C3E23" w:rsidRDefault="00607E04" w:rsidP="00607E04">
      <w:pPr>
        <w:widowControl w:val="0"/>
        <w:spacing w:before="0" w:after="0" w:line="240" w:lineRule="auto"/>
        <w:jc w:val="both"/>
        <w:rPr>
          <w:rFonts w:cs="Arial"/>
          <w:lang w:eastAsia="cs-CZ"/>
        </w:rPr>
      </w:pPr>
    </w:p>
    <w:p w:rsidR="00607E04" w:rsidRPr="003C3E23" w:rsidRDefault="00607E04" w:rsidP="00607E04">
      <w:pPr>
        <w:widowControl w:val="0"/>
        <w:spacing w:before="0" w:after="0" w:line="240" w:lineRule="auto"/>
        <w:jc w:val="both"/>
        <w:rPr>
          <w:rFonts w:cs="Arial"/>
          <w:lang w:eastAsia="cs-CZ"/>
        </w:rPr>
      </w:pPr>
    </w:p>
    <w:p w:rsidR="007C3C9C" w:rsidRPr="007C3C9C" w:rsidRDefault="007C3C9C" w:rsidP="007C3C9C">
      <w:pPr>
        <w:widowControl w:val="0"/>
        <w:spacing w:before="0" w:after="60" w:line="240" w:lineRule="auto"/>
        <w:jc w:val="both"/>
        <w:rPr>
          <w:rFonts w:cs="Arial"/>
          <w:b/>
          <w:lang w:eastAsia="cs-CZ"/>
        </w:rPr>
      </w:pPr>
      <w:r w:rsidRPr="007C3C9C">
        <w:rPr>
          <w:rFonts w:cs="Arial"/>
          <w:b/>
          <w:bCs/>
          <w:lang w:eastAsia="cs-CZ"/>
        </w:rPr>
        <w:t>ZHOTOVITE</w:t>
      </w:r>
      <w:r>
        <w:rPr>
          <w:rFonts w:cs="Arial"/>
          <w:b/>
          <w:bCs/>
          <w:lang w:eastAsia="cs-CZ"/>
        </w:rPr>
        <w:t>L</w:t>
      </w:r>
      <w:r w:rsidRPr="007C3C9C">
        <w:rPr>
          <w:rFonts w:cs="Arial"/>
          <w:b/>
          <w:bCs/>
          <w:lang w:eastAsia="cs-CZ"/>
        </w:rPr>
        <w:t>:</w:t>
      </w:r>
      <w:r w:rsidRPr="007C3C9C">
        <w:rPr>
          <w:rFonts w:cs="Arial"/>
          <w:b/>
          <w:lang w:eastAsia="cs-CZ"/>
        </w:rPr>
        <w:t xml:space="preserve"> </w:t>
      </w:r>
      <w:r>
        <w:rPr>
          <w:rFonts w:cs="Arial"/>
          <w:b/>
          <w:lang w:eastAsia="cs-CZ"/>
        </w:rPr>
        <w:tab/>
      </w:r>
      <w:r w:rsidRPr="007C3C9C">
        <w:rPr>
          <w:rFonts w:cs="Arial"/>
          <w:b/>
          <w:bCs/>
          <w:lang w:eastAsia="cs-CZ"/>
        </w:rPr>
        <w:t>Sociálně – právní institut, s.r.o.</w:t>
      </w:r>
    </w:p>
    <w:p w:rsidR="007C3C9C" w:rsidRPr="007C3C9C" w:rsidRDefault="007C3C9C" w:rsidP="007C3C9C">
      <w:pPr>
        <w:widowControl w:val="0"/>
        <w:spacing w:before="0" w:after="60" w:line="240" w:lineRule="auto"/>
        <w:jc w:val="both"/>
        <w:rPr>
          <w:rFonts w:cs="Arial"/>
          <w:b/>
          <w:lang w:eastAsia="cs-CZ"/>
        </w:rPr>
      </w:pPr>
      <w:r w:rsidRPr="007C3C9C">
        <w:rPr>
          <w:rFonts w:cs="Arial"/>
          <w:b/>
          <w:lang w:eastAsia="cs-CZ"/>
        </w:rPr>
        <w:t>Sídlo:</w:t>
      </w:r>
      <w:r>
        <w:rPr>
          <w:rFonts w:cs="Arial"/>
          <w:b/>
          <w:lang w:eastAsia="cs-CZ"/>
        </w:rPr>
        <w:tab/>
      </w:r>
      <w:r>
        <w:rPr>
          <w:rFonts w:cs="Arial"/>
          <w:b/>
          <w:lang w:eastAsia="cs-CZ"/>
        </w:rPr>
        <w:tab/>
      </w:r>
      <w:r>
        <w:rPr>
          <w:rFonts w:cs="Arial"/>
          <w:b/>
          <w:lang w:eastAsia="cs-CZ"/>
        </w:rPr>
        <w:tab/>
      </w:r>
      <w:r w:rsidRPr="007C3C9C">
        <w:rPr>
          <w:rFonts w:cs="Arial"/>
          <w:b/>
          <w:lang w:eastAsia="cs-CZ"/>
        </w:rPr>
        <w:t>Báňská 287, 434 01 Most</w:t>
      </w:r>
    </w:p>
    <w:p w:rsidR="007C3C9C" w:rsidRPr="007C3C9C" w:rsidRDefault="007C3C9C" w:rsidP="007C3C9C">
      <w:pPr>
        <w:widowControl w:val="0"/>
        <w:spacing w:before="0" w:after="60" w:line="240" w:lineRule="auto"/>
        <w:jc w:val="both"/>
        <w:rPr>
          <w:rFonts w:cs="Arial"/>
          <w:b/>
          <w:lang w:eastAsia="cs-CZ"/>
        </w:rPr>
      </w:pPr>
      <w:r>
        <w:rPr>
          <w:rFonts w:cs="Arial"/>
          <w:b/>
          <w:lang w:eastAsia="cs-CZ"/>
        </w:rPr>
        <w:t>Zastoupený:</w:t>
      </w:r>
      <w:r>
        <w:rPr>
          <w:rFonts w:cs="Arial"/>
          <w:b/>
          <w:lang w:eastAsia="cs-CZ"/>
        </w:rPr>
        <w:tab/>
      </w:r>
      <w:r>
        <w:rPr>
          <w:rFonts w:cs="Arial"/>
          <w:b/>
          <w:lang w:eastAsia="cs-CZ"/>
        </w:rPr>
        <w:tab/>
      </w:r>
      <w:r w:rsidRPr="007C3C9C">
        <w:rPr>
          <w:rFonts w:cs="Arial"/>
          <w:b/>
          <w:lang w:eastAsia="cs-CZ"/>
        </w:rPr>
        <w:t>Ing. Tomáš Kočí, jednatel</w:t>
      </w:r>
    </w:p>
    <w:p w:rsidR="007C3C9C" w:rsidRPr="007C3C9C" w:rsidRDefault="007C3C9C" w:rsidP="007C3C9C">
      <w:pPr>
        <w:widowControl w:val="0"/>
        <w:spacing w:before="0" w:after="60" w:line="240" w:lineRule="auto"/>
        <w:jc w:val="both"/>
        <w:rPr>
          <w:rFonts w:cs="Arial"/>
          <w:b/>
          <w:lang w:eastAsia="cs-CZ"/>
        </w:rPr>
      </w:pPr>
      <w:r>
        <w:rPr>
          <w:rFonts w:cs="Arial"/>
          <w:b/>
          <w:lang w:eastAsia="cs-CZ"/>
        </w:rPr>
        <w:t>IČO / DIČ:</w:t>
      </w:r>
      <w:r>
        <w:rPr>
          <w:rFonts w:cs="Arial"/>
          <w:b/>
          <w:lang w:eastAsia="cs-CZ"/>
        </w:rPr>
        <w:tab/>
      </w:r>
      <w:r>
        <w:rPr>
          <w:rFonts w:cs="Arial"/>
          <w:b/>
          <w:lang w:eastAsia="cs-CZ"/>
        </w:rPr>
        <w:tab/>
      </w:r>
      <w:r w:rsidRPr="007C3C9C">
        <w:rPr>
          <w:rFonts w:cs="Arial"/>
          <w:b/>
          <w:lang w:eastAsia="cs-CZ"/>
        </w:rPr>
        <w:t>61538353 / CZ61538353</w:t>
      </w:r>
    </w:p>
    <w:p w:rsidR="007C3C9C" w:rsidRPr="007C3C9C" w:rsidRDefault="007C3C9C" w:rsidP="007C3C9C">
      <w:pPr>
        <w:widowControl w:val="0"/>
        <w:spacing w:before="0" w:after="60" w:line="240" w:lineRule="auto"/>
        <w:jc w:val="both"/>
        <w:rPr>
          <w:rFonts w:cs="Arial"/>
          <w:b/>
          <w:lang w:eastAsia="cs-CZ"/>
        </w:rPr>
      </w:pPr>
      <w:r>
        <w:rPr>
          <w:rFonts w:cs="Arial"/>
          <w:b/>
          <w:lang w:eastAsia="cs-CZ"/>
        </w:rPr>
        <w:t>Bankovní spojení:</w:t>
      </w:r>
      <w:r>
        <w:rPr>
          <w:rFonts w:cs="Arial"/>
          <w:b/>
          <w:lang w:eastAsia="cs-CZ"/>
        </w:rPr>
        <w:tab/>
      </w:r>
      <w:proofErr w:type="spellStart"/>
      <w:r w:rsidR="0000679F">
        <w:rPr>
          <w:rFonts w:cs="Arial"/>
          <w:b/>
          <w:lang w:eastAsia="cs-CZ"/>
        </w:rPr>
        <w:t>xxxxxxxxxxxxxxxxxxxxxx</w:t>
      </w:r>
      <w:proofErr w:type="spellEnd"/>
      <w:r w:rsidRPr="007C3C9C">
        <w:rPr>
          <w:rFonts w:cs="Arial"/>
          <w:b/>
          <w:lang w:eastAsia="cs-CZ"/>
        </w:rPr>
        <w:t xml:space="preserve"> </w:t>
      </w:r>
    </w:p>
    <w:p w:rsidR="007C3C9C" w:rsidRDefault="007C3C9C" w:rsidP="007C3C9C">
      <w:pPr>
        <w:widowControl w:val="0"/>
        <w:spacing w:before="0" w:after="60" w:line="240" w:lineRule="auto"/>
        <w:jc w:val="both"/>
        <w:rPr>
          <w:rFonts w:cs="Arial"/>
          <w:b/>
          <w:lang w:eastAsia="cs-CZ"/>
        </w:rPr>
      </w:pPr>
      <w:r w:rsidRPr="007C3C9C">
        <w:rPr>
          <w:rFonts w:cs="Arial"/>
          <w:b/>
          <w:lang w:eastAsia="cs-CZ"/>
        </w:rPr>
        <w:t xml:space="preserve">Zástupce ve věcech </w:t>
      </w:r>
    </w:p>
    <w:p w:rsidR="00607E04" w:rsidRPr="003C3E23" w:rsidRDefault="007C3C9C" w:rsidP="007C3C9C">
      <w:pPr>
        <w:widowControl w:val="0"/>
        <w:spacing w:before="0" w:after="60" w:line="240" w:lineRule="auto"/>
        <w:jc w:val="both"/>
        <w:rPr>
          <w:rFonts w:cs="Arial"/>
          <w:lang w:eastAsia="cs-CZ"/>
        </w:rPr>
      </w:pPr>
      <w:r w:rsidRPr="007C3C9C">
        <w:rPr>
          <w:rFonts w:cs="Arial"/>
          <w:b/>
          <w:lang w:eastAsia="cs-CZ"/>
        </w:rPr>
        <w:t>technických:</w:t>
      </w:r>
      <w:r>
        <w:rPr>
          <w:rFonts w:cs="Arial"/>
          <w:b/>
          <w:lang w:eastAsia="cs-CZ"/>
        </w:rPr>
        <w:tab/>
      </w:r>
      <w:r>
        <w:rPr>
          <w:rFonts w:cs="Arial"/>
          <w:b/>
          <w:lang w:eastAsia="cs-CZ"/>
        </w:rPr>
        <w:tab/>
      </w:r>
      <w:r w:rsidRPr="007C3C9C">
        <w:rPr>
          <w:rFonts w:cs="Arial"/>
          <w:b/>
          <w:lang w:eastAsia="cs-CZ"/>
        </w:rPr>
        <w:t xml:space="preserve">Ing. Tomáš Kočí; </w:t>
      </w:r>
      <w:proofErr w:type="spellStart"/>
      <w:r w:rsidR="0000679F">
        <w:rPr>
          <w:rFonts w:cs="Arial"/>
          <w:b/>
          <w:lang w:eastAsia="cs-CZ"/>
        </w:rPr>
        <w:t>xxxxxxxxxxxxxxxxxxxxxx</w:t>
      </w:r>
      <w:proofErr w:type="spellEnd"/>
    </w:p>
    <w:p w:rsidR="00607E04" w:rsidRPr="003C3E23" w:rsidRDefault="00607E04" w:rsidP="00607E04">
      <w:pPr>
        <w:widowControl w:val="0"/>
        <w:spacing w:before="0" w:after="0" w:line="240" w:lineRule="auto"/>
        <w:ind w:left="720"/>
        <w:jc w:val="both"/>
        <w:rPr>
          <w:rFonts w:cs="Arial"/>
          <w:lang w:eastAsia="cs-CZ"/>
        </w:rPr>
      </w:pPr>
    </w:p>
    <w:p w:rsidR="00607E04" w:rsidRPr="003C3E23" w:rsidRDefault="00607E04" w:rsidP="00607E04">
      <w:pPr>
        <w:widowControl w:val="0"/>
        <w:spacing w:before="0" w:after="60" w:line="240" w:lineRule="auto"/>
        <w:jc w:val="center"/>
        <w:outlineLvl w:val="0"/>
        <w:rPr>
          <w:rFonts w:cs="Arial"/>
          <w:b/>
          <w:i/>
          <w:lang w:eastAsia="cs-CZ"/>
        </w:rPr>
      </w:pPr>
      <w:bookmarkStart w:id="12" w:name="_Toc442813383"/>
      <w:bookmarkStart w:id="13" w:name="_Toc443256884"/>
      <w:bookmarkStart w:id="14" w:name="_Toc464633887"/>
      <w:bookmarkStart w:id="15" w:name="_Toc464636963"/>
      <w:bookmarkStart w:id="16" w:name="_Toc465975236"/>
      <w:r w:rsidRPr="003C3E23">
        <w:rPr>
          <w:rFonts w:cs="Arial"/>
          <w:b/>
          <w:i/>
          <w:lang w:eastAsia="cs-CZ"/>
        </w:rPr>
        <w:t>II. Výchozí podklady a údaje</w:t>
      </w:r>
      <w:bookmarkEnd w:id="12"/>
      <w:bookmarkEnd w:id="13"/>
      <w:bookmarkEnd w:id="14"/>
      <w:bookmarkEnd w:id="15"/>
      <w:bookmarkEnd w:id="16"/>
    </w:p>
    <w:p w:rsidR="00607E04" w:rsidRPr="0096711E" w:rsidRDefault="00123E52" w:rsidP="007C3C9C">
      <w:pPr>
        <w:widowControl w:val="0"/>
        <w:numPr>
          <w:ilvl w:val="1"/>
          <w:numId w:val="2"/>
        </w:numPr>
        <w:tabs>
          <w:tab w:val="clear" w:pos="360"/>
          <w:tab w:val="left" w:pos="2880"/>
          <w:tab w:val="left" w:pos="3600"/>
          <w:tab w:val="left" w:pos="4320"/>
          <w:tab w:val="left" w:pos="5040"/>
          <w:tab w:val="left" w:pos="5760"/>
          <w:tab w:val="left" w:pos="6480"/>
          <w:tab w:val="left" w:pos="7200"/>
          <w:tab w:val="left" w:pos="7920"/>
          <w:tab w:val="left" w:pos="8640"/>
        </w:tabs>
        <w:spacing w:before="0" w:after="0" w:line="240" w:lineRule="auto"/>
        <w:ind w:left="567" w:hanging="567"/>
        <w:jc w:val="both"/>
        <w:outlineLvl w:val="0"/>
        <w:rPr>
          <w:rFonts w:cs="Arial"/>
          <w:b/>
          <w:lang w:eastAsia="cs-CZ"/>
        </w:rPr>
      </w:pPr>
      <w:bookmarkStart w:id="17" w:name="_Toc442813384"/>
      <w:bookmarkStart w:id="18" w:name="_Toc443256885"/>
      <w:bookmarkStart w:id="19" w:name="_Toc464633888"/>
      <w:bookmarkStart w:id="20" w:name="_Toc464636964"/>
      <w:bookmarkStart w:id="21" w:name="_Toc465975237"/>
      <w:r w:rsidRPr="007C3C9C">
        <w:rPr>
          <w:rFonts w:cs="Arial"/>
          <w:lang w:eastAsia="cs-CZ"/>
        </w:rPr>
        <w:t xml:space="preserve">Podkladem pro uzavření této smlouvy je </w:t>
      </w:r>
      <w:r>
        <w:rPr>
          <w:rFonts w:cs="Arial"/>
          <w:lang w:eastAsia="cs-CZ"/>
        </w:rPr>
        <w:t>cenová nabídka zhotovitele</w:t>
      </w:r>
      <w:r w:rsidRPr="007C3C9C">
        <w:rPr>
          <w:rFonts w:cs="Arial"/>
          <w:lang w:eastAsia="cs-CZ"/>
        </w:rPr>
        <w:t xml:space="preserve"> ze dne </w:t>
      </w:r>
      <w:r>
        <w:rPr>
          <w:rFonts w:cs="Arial"/>
          <w:lang w:eastAsia="cs-CZ"/>
        </w:rPr>
        <w:t>16</w:t>
      </w:r>
      <w:r w:rsidRPr="007C3C9C">
        <w:rPr>
          <w:rFonts w:cs="Arial"/>
          <w:lang w:eastAsia="cs-CZ"/>
        </w:rPr>
        <w:t>.</w:t>
      </w:r>
      <w:r>
        <w:rPr>
          <w:rFonts w:cs="Arial"/>
          <w:lang w:eastAsia="cs-CZ"/>
        </w:rPr>
        <w:t xml:space="preserve"> 3. 2018 (dále jen „Nabídka“) </w:t>
      </w:r>
      <w:r w:rsidRPr="007C3C9C">
        <w:rPr>
          <w:rFonts w:cs="Arial"/>
          <w:lang w:eastAsia="cs-CZ"/>
        </w:rPr>
        <w:t>v rámci veřejné zakázky malého rozsahu s názvem „</w:t>
      </w:r>
      <w:r w:rsidRPr="007C3C9C">
        <w:rPr>
          <w:rFonts w:cs="Arial"/>
          <w:b/>
          <w:lang w:eastAsia="cs-CZ"/>
        </w:rPr>
        <w:t>Zpracování žádosti o dotaci včetně administrace projektu</w:t>
      </w:r>
      <w:r w:rsidRPr="007C3C9C">
        <w:rPr>
          <w:rFonts w:cs="Arial"/>
          <w:szCs w:val="20"/>
          <w:lang w:eastAsia="cs-CZ"/>
        </w:rPr>
        <w:t>“ (dále jen „Veřejná zakázka“)</w:t>
      </w:r>
      <w:r w:rsidRPr="007C3C9C">
        <w:rPr>
          <w:rFonts w:cs="Arial"/>
          <w:lang w:eastAsia="cs-CZ"/>
        </w:rPr>
        <w:t>.</w:t>
      </w:r>
      <w:bookmarkEnd w:id="17"/>
      <w:bookmarkEnd w:id="18"/>
      <w:bookmarkEnd w:id="19"/>
      <w:bookmarkEnd w:id="20"/>
      <w:bookmarkEnd w:id="21"/>
    </w:p>
    <w:p w:rsidR="00607E04" w:rsidRPr="003C3E23" w:rsidRDefault="00607E04" w:rsidP="00607E04">
      <w:pPr>
        <w:widowControl w:val="0"/>
        <w:tabs>
          <w:tab w:val="left" w:pos="567"/>
        </w:tabs>
        <w:spacing w:before="360" w:after="60" w:line="240" w:lineRule="auto"/>
        <w:jc w:val="center"/>
        <w:outlineLvl w:val="0"/>
        <w:rPr>
          <w:rFonts w:cs="Arial"/>
          <w:b/>
          <w:i/>
          <w:lang w:eastAsia="cs-CZ"/>
        </w:rPr>
      </w:pPr>
      <w:bookmarkStart w:id="22" w:name="_Toc442813385"/>
      <w:bookmarkStart w:id="23" w:name="_Toc443256886"/>
      <w:bookmarkStart w:id="24" w:name="_Toc464633889"/>
      <w:bookmarkStart w:id="25" w:name="_Toc464636965"/>
      <w:bookmarkStart w:id="26" w:name="_Toc465975239"/>
      <w:r w:rsidRPr="003C3E23">
        <w:rPr>
          <w:rFonts w:cs="Arial"/>
          <w:b/>
          <w:i/>
          <w:lang w:eastAsia="cs-CZ"/>
        </w:rPr>
        <w:t>III. Předmět plnění</w:t>
      </w:r>
      <w:bookmarkEnd w:id="22"/>
      <w:bookmarkEnd w:id="23"/>
      <w:bookmarkEnd w:id="24"/>
      <w:bookmarkEnd w:id="25"/>
      <w:bookmarkEnd w:id="26"/>
    </w:p>
    <w:p w:rsidR="00607E04" w:rsidRPr="003C3E23" w:rsidRDefault="00607E04" w:rsidP="00607E04">
      <w:pPr>
        <w:widowControl w:val="0"/>
        <w:numPr>
          <w:ilvl w:val="0"/>
          <w:numId w:val="9"/>
        </w:numPr>
        <w:tabs>
          <w:tab w:val="left" w:pos="0"/>
          <w:tab w:val="center" w:pos="163"/>
        </w:tabs>
        <w:spacing w:before="0" w:after="60" w:line="240" w:lineRule="auto"/>
        <w:jc w:val="both"/>
        <w:outlineLvl w:val="0"/>
        <w:rPr>
          <w:rFonts w:cs="Arial"/>
          <w:vanish/>
          <w:lang w:eastAsia="cs-CZ"/>
        </w:rPr>
      </w:pPr>
      <w:bookmarkStart w:id="27" w:name="_Toc442813386"/>
      <w:bookmarkStart w:id="28" w:name="_Toc443256887"/>
      <w:bookmarkStart w:id="29" w:name="_Toc464633803"/>
      <w:bookmarkStart w:id="30" w:name="_Toc464633890"/>
      <w:bookmarkStart w:id="31" w:name="_Toc464636966"/>
      <w:bookmarkStart w:id="32" w:name="_Toc465975240"/>
      <w:bookmarkEnd w:id="27"/>
      <w:bookmarkEnd w:id="28"/>
      <w:bookmarkEnd w:id="29"/>
      <w:bookmarkEnd w:id="30"/>
      <w:bookmarkEnd w:id="31"/>
      <w:bookmarkEnd w:id="32"/>
    </w:p>
    <w:p w:rsidR="00607E04" w:rsidRPr="003C3E23" w:rsidRDefault="00607E04" w:rsidP="00607E04">
      <w:pPr>
        <w:widowControl w:val="0"/>
        <w:numPr>
          <w:ilvl w:val="0"/>
          <w:numId w:val="9"/>
        </w:numPr>
        <w:tabs>
          <w:tab w:val="left" w:pos="0"/>
          <w:tab w:val="center" w:pos="163"/>
        </w:tabs>
        <w:spacing w:before="0" w:after="60" w:line="240" w:lineRule="auto"/>
        <w:jc w:val="both"/>
        <w:outlineLvl w:val="0"/>
        <w:rPr>
          <w:rFonts w:cs="Arial"/>
          <w:vanish/>
          <w:lang w:eastAsia="cs-CZ"/>
        </w:rPr>
      </w:pPr>
      <w:bookmarkStart w:id="33" w:name="_Toc442813387"/>
      <w:bookmarkStart w:id="34" w:name="_Toc443256888"/>
      <w:bookmarkStart w:id="35" w:name="_Toc464633804"/>
      <w:bookmarkStart w:id="36" w:name="_Toc464633891"/>
      <w:bookmarkStart w:id="37" w:name="_Toc464636967"/>
      <w:bookmarkStart w:id="38" w:name="_Toc465975241"/>
      <w:bookmarkEnd w:id="33"/>
      <w:bookmarkEnd w:id="34"/>
      <w:bookmarkEnd w:id="35"/>
      <w:bookmarkEnd w:id="36"/>
      <w:bookmarkEnd w:id="37"/>
      <w:bookmarkEnd w:id="38"/>
    </w:p>
    <w:p w:rsidR="00607E04" w:rsidRPr="003C3E23" w:rsidRDefault="00607E04" w:rsidP="00607E04">
      <w:pPr>
        <w:widowControl w:val="0"/>
        <w:numPr>
          <w:ilvl w:val="0"/>
          <w:numId w:val="9"/>
        </w:numPr>
        <w:tabs>
          <w:tab w:val="left" w:pos="0"/>
          <w:tab w:val="center" w:pos="163"/>
        </w:tabs>
        <w:spacing w:before="0" w:after="60" w:line="240" w:lineRule="auto"/>
        <w:jc w:val="both"/>
        <w:outlineLvl w:val="0"/>
        <w:rPr>
          <w:rFonts w:cs="Arial"/>
          <w:vanish/>
          <w:lang w:eastAsia="cs-CZ"/>
        </w:rPr>
      </w:pPr>
      <w:bookmarkStart w:id="39" w:name="_Toc442813388"/>
      <w:bookmarkStart w:id="40" w:name="_Toc443256889"/>
      <w:bookmarkStart w:id="41" w:name="_Toc464633805"/>
      <w:bookmarkStart w:id="42" w:name="_Toc464633892"/>
      <w:bookmarkStart w:id="43" w:name="_Toc464636968"/>
      <w:bookmarkStart w:id="44" w:name="_Toc465975242"/>
      <w:bookmarkEnd w:id="39"/>
      <w:bookmarkEnd w:id="40"/>
      <w:bookmarkEnd w:id="41"/>
      <w:bookmarkEnd w:id="42"/>
      <w:bookmarkEnd w:id="43"/>
      <w:bookmarkEnd w:id="44"/>
    </w:p>
    <w:p w:rsidR="00123E52" w:rsidRPr="003C3E23" w:rsidRDefault="00123E52" w:rsidP="00123E52">
      <w:pPr>
        <w:widowControl w:val="0"/>
        <w:numPr>
          <w:ilvl w:val="1"/>
          <w:numId w:val="9"/>
        </w:numPr>
        <w:tabs>
          <w:tab w:val="left" w:pos="0"/>
          <w:tab w:val="center" w:pos="163"/>
        </w:tabs>
        <w:spacing w:before="0" w:after="60" w:line="240" w:lineRule="auto"/>
        <w:ind w:left="567" w:hanging="567"/>
        <w:jc w:val="both"/>
        <w:outlineLvl w:val="0"/>
        <w:rPr>
          <w:rFonts w:cs="Arial"/>
          <w:lang w:eastAsia="cs-CZ"/>
        </w:rPr>
      </w:pPr>
      <w:bookmarkStart w:id="45" w:name="_Toc442813389"/>
      <w:bookmarkStart w:id="46" w:name="_Toc443256890"/>
      <w:bookmarkStart w:id="47" w:name="_Toc464633893"/>
      <w:bookmarkStart w:id="48" w:name="_Toc464636969"/>
      <w:bookmarkStart w:id="49" w:name="_Toc465975243"/>
      <w:r w:rsidRPr="006122C9">
        <w:rPr>
          <w:rFonts w:cs="Arial"/>
          <w:lang w:eastAsia="cs-CZ"/>
        </w:rPr>
        <w:t xml:space="preserve">Předmětem plnění zakázky jsou komplexní služby zajišťující zpracování, podání žádosti o dotaci z programu </w:t>
      </w:r>
      <w:r w:rsidRPr="006122C9">
        <w:rPr>
          <w:rFonts w:cs="Arial"/>
          <w:b/>
          <w:lang w:eastAsia="cs-CZ"/>
        </w:rPr>
        <w:t>Evropského fondu pro regionální rozvoj, Integrovaného regionálního operačního programu</w:t>
      </w:r>
      <w:r w:rsidRPr="006122C9">
        <w:rPr>
          <w:rFonts w:cs="Arial"/>
          <w:lang w:eastAsia="cs-CZ"/>
        </w:rPr>
        <w:t xml:space="preserve"> (v textu dále jen také „IROP“)</w:t>
      </w:r>
      <w:r>
        <w:rPr>
          <w:rFonts w:cs="Arial"/>
          <w:lang w:eastAsia="cs-CZ"/>
        </w:rPr>
        <w:t xml:space="preserve"> prostřednictvím MAS Vladař o.p.s.</w:t>
      </w:r>
      <w:r w:rsidRPr="006122C9">
        <w:rPr>
          <w:rFonts w:cs="Arial"/>
          <w:lang w:eastAsia="cs-CZ"/>
        </w:rPr>
        <w:t xml:space="preserve"> a </w:t>
      </w:r>
      <w:r>
        <w:rPr>
          <w:rFonts w:cs="Arial"/>
          <w:lang w:eastAsia="cs-CZ"/>
        </w:rPr>
        <w:t xml:space="preserve">komplexní </w:t>
      </w:r>
      <w:r w:rsidRPr="006122C9">
        <w:rPr>
          <w:rFonts w:cs="Arial"/>
          <w:lang w:eastAsia="cs-CZ"/>
        </w:rPr>
        <w:t>administrace po celou dobu udržitelnosti projektu</w:t>
      </w:r>
      <w:bookmarkEnd w:id="45"/>
      <w:bookmarkEnd w:id="46"/>
      <w:bookmarkEnd w:id="47"/>
      <w:bookmarkEnd w:id="48"/>
      <w:bookmarkEnd w:id="49"/>
      <w:r>
        <w:rPr>
          <w:rFonts w:cs="Arial"/>
          <w:lang w:eastAsia="cs-CZ"/>
        </w:rPr>
        <w:t>.</w:t>
      </w:r>
    </w:p>
    <w:bookmarkStart w:id="50" w:name="_Toc442813393"/>
    <w:bookmarkStart w:id="51" w:name="_Toc443256894"/>
    <w:bookmarkEnd w:id="50"/>
    <w:bookmarkEnd w:id="51"/>
    <w:p w:rsidR="00123E52" w:rsidRPr="005660A7" w:rsidRDefault="00123E52" w:rsidP="00123E52">
      <w:pPr>
        <w:pStyle w:val="Odstavecseseznamem1"/>
        <w:numPr>
          <w:ilvl w:val="0"/>
          <w:numId w:val="0"/>
        </w:numPr>
        <w:spacing w:before="120" w:line="240" w:lineRule="auto"/>
        <w:ind w:left="1276"/>
        <w:rPr>
          <w:sz w:val="22"/>
        </w:rPr>
      </w:pPr>
      <w:r w:rsidRPr="005660A7">
        <w:fldChar w:fldCharType="begin"/>
      </w:r>
      <w:r w:rsidRPr="005660A7">
        <w:rPr>
          <w:sz w:val="22"/>
        </w:rPr>
        <w:instrText xml:space="preserve"> HYPERLINK "http://www.dotaceEu.cz/cs/Microsites/IROP/Vyzvy-v-IROP" </w:instrText>
      </w:r>
      <w:r w:rsidRPr="005660A7">
        <w:fldChar w:fldCharType="separate"/>
      </w:r>
      <w:r w:rsidRPr="005660A7">
        <w:rPr>
          <w:rStyle w:val="Hypertextovodkaz"/>
          <w:rFonts w:ascii="Garamond" w:hAnsi="Garamond" w:cs="Garamond"/>
          <w:color w:val="auto"/>
          <w:sz w:val="22"/>
        </w:rPr>
        <w:t>http://www.dotaceEu.cz/cs/Microsites/IROP/Vyzvy-v-IROP</w:t>
      </w:r>
      <w:r w:rsidRPr="005660A7">
        <w:rPr>
          <w:rStyle w:val="Hypertextovodkaz"/>
          <w:rFonts w:ascii="Garamond" w:hAnsi="Garamond" w:cs="Garamond"/>
          <w:color w:val="auto"/>
          <w:sz w:val="22"/>
        </w:rPr>
        <w:fldChar w:fldCharType="end"/>
      </w:r>
      <w:r w:rsidRPr="005660A7">
        <w:rPr>
          <w:sz w:val="22"/>
        </w:rPr>
        <w:t xml:space="preserve"> ; resp. </w:t>
      </w:r>
    </w:p>
    <w:p w:rsidR="00123E52" w:rsidRPr="005660A7" w:rsidRDefault="00DF0D40" w:rsidP="00123E52">
      <w:pPr>
        <w:pStyle w:val="Odstavecseseznamem1"/>
        <w:numPr>
          <w:ilvl w:val="0"/>
          <w:numId w:val="0"/>
        </w:numPr>
        <w:spacing w:before="120" w:line="240" w:lineRule="auto"/>
        <w:ind w:left="1276"/>
        <w:rPr>
          <w:sz w:val="22"/>
          <w:szCs w:val="22"/>
        </w:rPr>
      </w:pPr>
      <w:hyperlink r:id="rId8" w:history="1">
        <w:r w:rsidR="00123E52" w:rsidRPr="005660A7">
          <w:rPr>
            <w:rStyle w:val="Hypertextovodkaz"/>
            <w:rFonts w:ascii="Garamond" w:hAnsi="Garamond" w:cs="Garamond"/>
            <w:color w:val="auto"/>
            <w:sz w:val="22"/>
            <w:szCs w:val="22"/>
          </w:rPr>
          <w:t>http://www.strukturalni-fondy.cz/cs/Microsites/IROP/Vyzvy/Vyzva-c-68-Zvysovani-kvality-a-dostupnosti-Infrastruktury-pro-vzdela</w:t>
        </w:r>
      </w:hyperlink>
      <w:r w:rsidR="00123E52">
        <w:rPr>
          <w:sz w:val="22"/>
          <w:szCs w:val="22"/>
        </w:rPr>
        <w:t xml:space="preserve"> a</w:t>
      </w:r>
    </w:p>
    <w:p w:rsidR="00123E52" w:rsidRPr="005660A7" w:rsidRDefault="00123E52" w:rsidP="00123E52">
      <w:pPr>
        <w:pStyle w:val="Odstavecseseznamem1"/>
        <w:numPr>
          <w:ilvl w:val="0"/>
          <w:numId w:val="0"/>
        </w:numPr>
        <w:spacing w:before="120" w:line="240" w:lineRule="auto"/>
        <w:ind w:left="1276"/>
        <w:rPr>
          <w:sz w:val="22"/>
          <w:szCs w:val="22"/>
          <w:u w:val="single"/>
        </w:rPr>
      </w:pPr>
      <w:r w:rsidRPr="005660A7">
        <w:rPr>
          <w:sz w:val="22"/>
          <w:szCs w:val="22"/>
          <w:u w:val="single"/>
        </w:rPr>
        <w:t>http://vladar.cz/podporovane-aktivity-skrz-clld-v-op-2014-2020-vypis-text-13.html</w:t>
      </w:r>
    </w:p>
    <w:p w:rsidR="00123E52" w:rsidRPr="00B91750" w:rsidRDefault="00123E52" w:rsidP="00123E52">
      <w:pPr>
        <w:pStyle w:val="Odstavecseseznamem1"/>
        <w:numPr>
          <w:ilvl w:val="0"/>
          <w:numId w:val="0"/>
        </w:numPr>
        <w:spacing w:before="120" w:line="240" w:lineRule="auto"/>
        <w:ind w:left="1276"/>
        <w:rPr>
          <w:sz w:val="22"/>
        </w:rPr>
      </w:pPr>
      <w:r w:rsidRPr="00B91750">
        <w:rPr>
          <w:sz w:val="22"/>
        </w:rPr>
        <w:t xml:space="preserve">  a to v souladu s dokumenty – IROP, zejména pak:</w:t>
      </w:r>
    </w:p>
    <w:p w:rsidR="00123E52" w:rsidRDefault="00123E52" w:rsidP="00123E52">
      <w:pPr>
        <w:pStyle w:val="Odstavecseseznamem1"/>
        <w:numPr>
          <w:ilvl w:val="0"/>
          <w:numId w:val="12"/>
        </w:numPr>
        <w:spacing w:before="120" w:line="240" w:lineRule="auto"/>
        <w:rPr>
          <w:sz w:val="22"/>
        </w:rPr>
      </w:pPr>
      <w:r w:rsidRPr="00B91750">
        <w:rPr>
          <w:sz w:val="22"/>
        </w:rPr>
        <w:t>Obecná pravidla pro žadatele a příjemce – pro všechny specifické cíle a výzvy</w:t>
      </w:r>
    </w:p>
    <w:p w:rsidR="00607E04" w:rsidRPr="00B91750" w:rsidRDefault="00123E52" w:rsidP="00123E52">
      <w:pPr>
        <w:pStyle w:val="Odstavecseseznamem1"/>
        <w:numPr>
          <w:ilvl w:val="0"/>
          <w:numId w:val="12"/>
        </w:numPr>
        <w:spacing w:before="120" w:line="240" w:lineRule="auto"/>
        <w:rPr>
          <w:sz w:val="22"/>
        </w:rPr>
      </w:pPr>
      <w:r w:rsidRPr="009349E7">
        <w:rPr>
          <w:sz w:val="22"/>
        </w:rPr>
        <w:t xml:space="preserve">Specifická pravidla pro žadatele a příjemce, specifický cíl </w:t>
      </w:r>
      <w:proofErr w:type="gramStart"/>
      <w:r w:rsidRPr="009349E7">
        <w:rPr>
          <w:sz w:val="22"/>
        </w:rPr>
        <w:t xml:space="preserve">4.1. </w:t>
      </w:r>
      <w:r w:rsidRPr="009349E7">
        <w:rPr>
          <w:rFonts w:cs="Arial"/>
          <w:sz w:val="22"/>
          <w:szCs w:val="22"/>
          <w:lang w:eastAsia="cs-CZ"/>
        </w:rPr>
        <w:t>POSÍLENÍ</w:t>
      </w:r>
      <w:proofErr w:type="gramEnd"/>
      <w:r w:rsidRPr="009349E7">
        <w:rPr>
          <w:rFonts w:cs="Arial"/>
          <w:sz w:val="22"/>
          <w:szCs w:val="22"/>
          <w:lang w:eastAsia="cs-CZ"/>
        </w:rPr>
        <w:t xml:space="preserve"> KOMUNITNĚ VEDENÉHO MÍSTNÍHO ROZVOJE ZA ÚČELEM ZVÝŠENÍ KVALITY ŽIVOTA VE VENKOVSKÝCH OBLASTECH A AKTIVIZACE MÍSTNÍHO POTENCIÁLU</w:t>
      </w:r>
      <w:r w:rsidRPr="009349E7">
        <w:rPr>
          <w:rFonts w:cs="Arial"/>
          <w:lang w:eastAsia="cs-CZ"/>
        </w:rPr>
        <w:t xml:space="preserve">, věcné zaměření </w:t>
      </w:r>
      <w:r w:rsidRPr="009349E7">
        <w:rPr>
          <w:rFonts w:cs="Arial"/>
          <w:sz w:val="22"/>
          <w:szCs w:val="22"/>
          <w:lang w:eastAsia="cs-CZ"/>
        </w:rPr>
        <w:t xml:space="preserve">INFRASTRUKTURA PROPŘEDŠKOLNÍ VZDĚLÁVÁNÍ, ZÁKLADNÍ ŠKOLY, STŘEDNÍ ŠKOLY, VYŠŠÍ ODBORNÉ ŠKOLY, ZÁJMOVÉ, NEFORMÁLNÍ A CELOŽIVOTNÍVZDĚLÁVÁNÍ </w:t>
      </w:r>
      <w:r w:rsidRPr="009349E7">
        <w:rPr>
          <w:sz w:val="22"/>
        </w:rPr>
        <w:t>, vyhlášené 20.1.2017.</w:t>
      </w:r>
    </w:p>
    <w:p w:rsidR="00607E04" w:rsidRPr="003C3E23" w:rsidRDefault="00607E04" w:rsidP="00607E04">
      <w:pPr>
        <w:widowControl w:val="0"/>
        <w:numPr>
          <w:ilvl w:val="0"/>
          <w:numId w:val="10"/>
        </w:numPr>
        <w:tabs>
          <w:tab w:val="left" w:pos="0"/>
          <w:tab w:val="center" w:pos="163"/>
        </w:tabs>
        <w:spacing w:before="0" w:after="60" w:line="240" w:lineRule="auto"/>
        <w:jc w:val="both"/>
        <w:outlineLvl w:val="0"/>
        <w:rPr>
          <w:rFonts w:cs="Arial"/>
          <w:b/>
          <w:vanish/>
          <w:lang w:eastAsia="cs-CZ"/>
        </w:rPr>
      </w:pPr>
      <w:bookmarkStart w:id="52" w:name="_Toc464633807"/>
      <w:bookmarkStart w:id="53" w:name="_Toc464633894"/>
      <w:bookmarkStart w:id="54" w:name="_Toc464636970"/>
      <w:bookmarkStart w:id="55" w:name="_Toc465975244"/>
      <w:bookmarkEnd w:id="52"/>
      <w:bookmarkEnd w:id="53"/>
      <w:bookmarkEnd w:id="54"/>
      <w:bookmarkEnd w:id="55"/>
    </w:p>
    <w:p w:rsidR="00607E04" w:rsidRPr="003C3E23" w:rsidRDefault="00607E04" w:rsidP="00607E04">
      <w:pPr>
        <w:widowControl w:val="0"/>
        <w:numPr>
          <w:ilvl w:val="0"/>
          <w:numId w:val="10"/>
        </w:numPr>
        <w:tabs>
          <w:tab w:val="left" w:pos="0"/>
          <w:tab w:val="center" w:pos="163"/>
        </w:tabs>
        <w:spacing w:before="0" w:after="60" w:line="240" w:lineRule="auto"/>
        <w:jc w:val="both"/>
        <w:outlineLvl w:val="0"/>
        <w:rPr>
          <w:rFonts w:cs="Arial"/>
          <w:b/>
          <w:vanish/>
          <w:lang w:eastAsia="cs-CZ"/>
        </w:rPr>
      </w:pPr>
      <w:bookmarkStart w:id="56" w:name="_Toc442813394"/>
      <w:bookmarkStart w:id="57" w:name="_Toc443256895"/>
      <w:bookmarkStart w:id="58" w:name="_Toc464633808"/>
      <w:bookmarkStart w:id="59" w:name="_Toc464633895"/>
      <w:bookmarkStart w:id="60" w:name="_Toc464636971"/>
      <w:bookmarkStart w:id="61" w:name="_Toc465975245"/>
      <w:bookmarkEnd w:id="56"/>
      <w:bookmarkEnd w:id="57"/>
      <w:bookmarkEnd w:id="58"/>
      <w:bookmarkEnd w:id="59"/>
      <w:bookmarkEnd w:id="60"/>
      <w:bookmarkEnd w:id="61"/>
    </w:p>
    <w:p w:rsidR="00607E04" w:rsidRPr="003C3E23" w:rsidRDefault="00607E04" w:rsidP="00607E04">
      <w:pPr>
        <w:widowControl w:val="0"/>
        <w:numPr>
          <w:ilvl w:val="0"/>
          <w:numId w:val="10"/>
        </w:numPr>
        <w:tabs>
          <w:tab w:val="left" w:pos="0"/>
          <w:tab w:val="center" w:pos="163"/>
        </w:tabs>
        <w:spacing w:before="0" w:after="60" w:line="240" w:lineRule="auto"/>
        <w:jc w:val="both"/>
        <w:outlineLvl w:val="0"/>
        <w:rPr>
          <w:rFonts w:cs="Arial"/>
          <w:b/>
          <w:vanish/>
          <w:lang w:eastAsia="cs-CZ"/>
        </w:rPr>
      </w:pPr>
      <w:bookmarkStart w:id="62" w:name="_Toc442813395"/>
      <w:bookmarkStart w:id="63" w:name="_Toc443256896"/>
      <w:bookmarkStart w:id="64" w:name="_Toc464633809"/>
      <w:bookmarkStart w:id="65" w:name="_Toc464633896"/>
      <w:bookmarkStart w:id="66" w:name="_Toc464636972"/>
      <w:bookmarkStart w:id="67" w:name="_Toc465975246"/>
      <w:bookmarkEnd w:id="62"/>
      <w:bookmarkEnd w:id="63"/>
      <w:bookmarkEnd w:id="64"/>
      <w:bookmarkEnd w:id="65"/>
      <w:bookmarkEnd w:id="66"/>
      <w:bookmarkEnd w:id="67"/>
    </w:p>
    <w:p w:rsidR="00607E04" w:rsidRPr="003C3E23" w:rsidRDefault="00607E04" w:rsidP="00607E04">
      <w:pPr>
        <w:widowControl w:val="0"/>
        <w:numPr>
          <w:ilvl w:val="1"/>
          <w:numId w:val="10"/>
        </w:numPr>
        <w:tabs>
          <w:tab w:val="left" w:pos="0"/>
          <w:tab w:val="center" w:pos="163"/>
        </w:tabs>
        <w:spacing w:before="0" w:after="60" w:line="240" w:lineRule="auto"/>
        <w:jc w:val="both"/>
        <w:outlineLvl w:val="0"/>
        <w:rPr>
          <w:rFonts w:cs="Arial"/>
          <w:b/>
          <w:vanish/>
          <w:lang w:eastAsia="cs-CZ"/>
        </w:rPr>
      </w:pPr>
      <w:bookmarkStart w:id="68" w:name="_Toc442813396"/>
      <w:bookmarkStart w:id="69" w:name="_Toc443256897"/>
      <w:bookmarkStart w:id="70" w:name="_Toc464633810"/>
      <w:bookmarkStart w:id="71" w:name="_Toc464633897"/>
      <w:bookmarkStart w:id="72" w:name="_Toc464636973"/>
      <w:bookmarkStart w:id="73" w:name="_Toc465975247"/>
      <w:bookmarkEnd w:id="68"/>
      <w:bookmarkEnd w:id="69"/>
      <w:bookmarkEnd w:id="70"/>
      <w:bookmarkEnd w:id="71"/>
      <w:bookmarkEnd w:id="72"/>
      <w:bookmarkEnd w:id="73"/>
    </w:p>
    <w:p w:rsidR="00607E04" w:rsidRPr="00350A4C" w:rsidRDefault="006A7DD5" w:rsidP="00607E04">
      <w:pPr>
        <w:widowControl w:val="0"/>
        <w:numPr>
          <w:ilvl w:val="1"/>
          <w:numId w:val="10"/>
        </w:numPr>
        <w:tabs>
          <w:tab w:val="left" w:pos="0"/>
          <w:tab w:val="center" w:pos="163"/>
        </w:tabs>
        <w:spacing w:before="0" w:after="60" w:line="240" w:lineRule="auto"/>
        <w:ind w:left="567" w:hanging="567"/>
        <w:jc w:val="both"/>
        <w:outlineLvl w:val="0"/>
        <w:rPr>
          <w:rFonts w:cs="Arial"/>
          <w:lang w:eastAsia="cs-CZ"/>
        </w:rPr>
      </w:pPr>
      <w:bookmarkStart w:id="74" w:name="_Toc442813397"/>
      <w:bookmarkStart w:id="75" w:name="_Toc443256898"/>
      <w:bookmarkStart w:id="76" w:name="_Toc464633898"/>
      <w:bookmarkStart w:id="77" w:name="_Toc464636974"/>
      <w:bookmarkStart w:id="78" w:name="_Toc465975248"/>
      <w:r w:rsidRPr="006A7DD5">
        <w:rPr>
          <w:b/>
        </w:rPr>
        <w:t>Stručný popis projektu:</w:t>
      </w:r>
      <w:r w:rsidRPr="006A7DD5">
        <w:t xml:space="preserve"> Cílem projektu</w:t>
      </w:r>
      <w:r w:rsidR="00123E52">
        <w:t xml:space="preserve"> s pracovním názvem: </w:t>
      </w:r>
      <w:r w:rsidR="00123E52" w:rsidRPr="00123E52">
        <w:rPr>
          <w:b/>
        </w:rPr>
        <w:t>„</w:t>
      </w:r>
      <w:r w:rsidR="00041E93">
        <w:rPr>
          <w:b/>
        </w:rPr>
        <w:t>Inovace jazykového vzdělávání</w:t>
      </w:r>
      <w:r w:rsidR="00123E52" w:rsidRPr="00123E52">
        <w:rPr>
          <w:b/>
        </w:rPr>
        <w:t>“</w:t>
      </w:r>
      <w:r w:rsidR="00123E52">
        <w:t xml:space="preserve"> </w:t>
      </w:r>
      <w:r w:rsidRPr="006A7DD5">
        <w:t xml:space="preserve">je kompletní rekonstrukce – modernizace a vybavení odborné </w:t>
      </w:r>
      <w:r w:rsidR="00811447">
        <w:t>učebny pro výuku cizích jazyků a práci</w:t>
      </w:r>
      <w:r w:rsidRPr="006A7DD5">
        <w:t xml:space="preserve"> s digitálními technologie</w:t>
      </w:r>
      <w:r w:rsidR="00811447">
        <w:t>mi.</w:t>
      </w:r>
      <w:r w:rsidRPr="006A7DD5">
        <w:t xml:space="preserve"> </w:t>
      </w:r>
      <w:bookmarkEnd w:id="74"/>
      <w:bookmarkEnd w:id="75"/>
      <w:bookmarkEnd w:id="76"/>
      <w:bookmarkEnd w:id="77"/>
      <w:bookmarkEnd w:id="78"/>
    </w:p>
    <w:p w:rsidR="00123E52" w:rsidRPr="009349E7" w:rsidRDefault="00123E52" w:rsidP="00123E52">
      <w:pPr>
        <w:widowControl w:val="0"/>
        <w:numPr>
          <w:ilvl w:val="1"/>
          <w:numId w:val="10"/>
        </w:numPr>
        <w:tabs>
          <w:tab w:val="left" w:pos="0"/>
          <w:tab w:val="center" w:pos="163"/>
        </w:tabs>
        <w:spacing w:before="0" w:after="0" w:line="240" w:lineRule="auto"/>
        <w:ind w:left="567" w:hanging="567"/>
        <w:jc w:val="both"/>
        <w:outlineLvl w:val="0"/>
        <w:rPr>
          <w:rFonts w:cs="Arial"/>
          <w:lang w:eastAsia="cs-CZ"/>
        </w:rPr>
      </w:pPr>
      <w:r>
        <w:t>Zhotovitel zařídí také v rámci plnění podle této smlouvy jménem objednatele a na jeho účet pro zajištění zpracování a podání žádosti o dotaci z programu IROP na výše uvedený projekt výkon zejména těchto specifikovaných činností</w:t>
      </w:r>
      <w:r w:rsidRPr="009349E7">
        <w:rPr>
          <w:rFonts w:cs="Arial"/>
          <w:lang w:eastAsia="cs-CZ"/>
        </w:rPr>
        <w:t>:</w:t>
      </w:r>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79" w:name="_Toc465975250"/>
      <w:bookmarkStart w:id="80" w:name="_Toc443256908"/>
      <w:bookmarkStart w:id="81" w:name="_Toc464633908"/>
      <w:bookmarkStart w:id="82" w:name="_Toc464636984"/>
      <w:r w:rsidRPr="006122C9">
        <w:rPr>
          <w:rFonts w:cs="Arial"/>
          <w:lang w:eastAsia="cs-CZ"/>
        </w:rPr>
        <w:t>vypracování projektového záměru</w:t>
      </w:r>
      <w:bookmarkEnd w:id="79"/>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3" w:name="_Toc465975251"/>
      <w:r w:rsidRPr="006122C9">
        <w:rPr>
          <w:rFonts w:cs="Arial"/>
          <w:lang w:eastAsia="cs-CZ"/>
        </w:rPr>
        <w:t>vypracování studie proveditelnosti</w:t>
      </w:r>
      <w:bookmarkEnd w:id="83"/>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4" w:name="_Toc465975252"/>
      <w:r w:rsidRPr="006122C9">
        <w:rPr>
          <w:rFonts w:cs="Arial"/>
          <w:lang w:eastAsia="cs-CZ"/>
        </w:rPr>
        <w:t>kompletaci příslušných příloh k projektové žádosti</w:t>
      </w:r>
      <w:bookmarkEnd w:id="84"/>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5" w:name="_Toc465975253"/>
      <w:r w:rsidRPr="006122C9">
        <w:rPr>
          <w:rFonts w:cs="Arial"/>
          <w:lang w:eastAsia="cs-CZ"/>
        </w:rPr>
        <w:t>vypracování finančních a ekonomických analýz</w:t>
      </w:r>
      <w:bookmarkEnd w:id="85"/>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6" w:name="_Toc465975254"/>
      <w:r w:rsidRPr="006122C9">
        <w:rPr>
          <w:rFonts w:cs="Arial"/>
          <w:lang w:eastAsia="cs-CZ"/>
        </w:rPr>
        <w:t>vypracování a odevzdání projektové žádosti k příslušným orgánům státní správy</w:t>
      </w:r>
      <w:bookmarkEnd w:id="86"/>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7" w:name="_Toc465975255"/>
      <w:r w:rsidRPr="006122C9">
        <w:rPr>
          <w:rFonts w:cs="Arial"/>
          <w:lang w:eastAsia="cs-CZ"/>
        </w:rPr>
        <w:t>poradenství při nastavení závazných a monitorovacích ukazatelů projektu</w:t>
      </w:r>
      <w:bookmarkEnd w:id="87"/>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88" w:name="_Toc465975256"/>
      <w:r w:rsidRPr="006122C9">
        <w:rPr>
          <w:rFonts w:cs="Arial"/>
          <w:lang w:eastAsia="cs-CZ"/>
        </w:rPr>
        <w:t>registraci a administraci do příslušného elektronického systému pro vypracování žádosti o dotaci</w:t>
      </w:r>
      <w:bookmarkEnd w:id="88"/>
    </w:p>
    <w:p w:rsidR="00123E52" w:rsidRPr="001D1852" w:rsidRDefault="00123E52" w:rsidP="00123E52">
      <w:pPr>
        <w:widowControl w:val="0"/>
        <w:numPr>
          <w:ilvl w:val="2"/>
          <w:numId w:val="10"/>
        </w:numPr>
        <w:tabs>
          <w:tab w:val="left" w:pos="0"/>
          <w:tab w:val="center" w:pos="163"/>
        </w:tabs>
        <w:spacing w:before="0" w:after="60" w:line="240" w:lineRule="auto"/>
        <w:ind w:left="1225" w:hanging="505"/>
        <w:jc w:val="both"/>
        <w:outlineLvl w:val="0"/>
        <w:rPr>
          <w:rFonts w:cs="Arial"/>
          <w:lang w:eastAsia="cs-CZ"/>
        </w:rPr>
      </w:pPr>
      <w:bookmarkStart w:id="89" w:name="_Toc465975257"/>
      <w:r w:rsidRPr="006122C9">
        <w:rPr>
          <w:rFonts w:cs="Arial"/>
          <w:lang w:eastAsia="cs-CZ"/>
        </w:rPr>
        <w:t>přípravu harmonogramu realizace včetně nastavení dílčích etap realizace projektu</w:t>
      </w:r>
      <w:bookmarkEnd w:id="89"/>
      <w:r w:rsidRPr="006122C9">
        <w:rPr>
          <w:rFonts w:cs="Arial"/>
          <w:lang w:eastAsia="cs-CZ"/>
        </w:rPr>
        <w:t xml:space="preserve"> </w:t>
      </w:r>
      <w:bookmarkStart w:id="90" w:name="_Toc465975258"/>
    </w:p>
    <w:p w:rsidR="00123E52" w:rsidRPr="003C3E23" w:rsidRDefault="00123E52" w:rsidP="00123E52">
      <w:pPr>
        <w:widowControl w:val="0"/>
        <w:tabs>
          <w:tab w:val="left" w:pos="0"/>
          <w:tab w:val="center" w:pos="163"/>
        </w:tabs>
        <w:spacing w:before="0" w:after="0" w:line="240" w:lineRule="auto"/>
        <w:ind w:left="720"/>
        <w:jc w:val="both"/>
        <w:outlineLvl w:val="0"/>
        <w:rPr>
          <w:rFonts w:cs="Arial"/>
          <w:lang w:eastAsia="cs-CZ"/>
        </w:rPr>
      </w:pPr>
      <w:r w:rsidRPr="001A4785">
        <w:rPr>
          <w:rFonts w:cs="Arial"/>
          <w:lang w:eastAsia="cs-CZ"/>
        </w:rPr>
        <w:t>V případě získání dotace pak:</w:t>
      </w:r>
      <w:bookmarkEnd w:id="80"/>
      <w:bookmarkEnd w:id="81"/>
      <w:bookmarkEnd w:id="82"/>
      <w:bookmarkEnd w:id="90"/>
    </w:p>
    <w:p w:rsidR="00123E52" w:rsidRPr="003C3E23"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91" w:name="_Toc442813406"/>
      <w:bookmarkStart w:id="92" w:name="_Toc443256909"/>
      <w:bookmarkStart w:id="93" w:name="_Toc464633909"/>
      <w:bookmarkStart w:id="94" w:name="_Toc464636985"/>
      <w:bookmarkStart w:id="95" w:name="_Toc465975259"/>
      <w:r w:rsidRPr="003C3E23">
        <w:rPr>
          <w:rFonts w:cs="Arial"/>
          <w:lang w:eastAsia="cs-CZ"/>
        </w:rPr>
        <w:t>vypracování: průběžných zpráv z realizace projektu, závěrečných zpráv z realizace projektu, žádostí o platbu, administraci změnových řízení, asistenci při kontrole ze strany řídích orgánů</w:t>
      </w:r>
      <w:bookmarkEnd w:id="91"/>
      <w:bookmarkEnd w:id="92"/>
      <w:bookmarkEnd w:id="93"/>
      <w:bookmarkEnd w:id="94"/>
      <w:bookmarkEnd w:id="95"/>
    </w:p>
    <w:p w:rsidR="00123E52"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96" w:name="_Toc442813407"/>
      <w:bookmarkStart w:id="97" w:name="_Toc443256910"/>
      <w:bookmarkStart w:id="98" w:name="_Toc464633910"/>
      <w:bookmarkStart w:id="99" w:name="_Toc464636986"/>
      <w:bookmarkStart w:id="100" w:name="_Toc465975260"/>
      <w:r w:rsidRPr="003C3E23">
        <w:rPr>
          <w:rFonts w:cs="Arial"/>
          <w:lang w:eastAsia="cs-CZ"/>
        </w:rPr>
        <w:t>vypracování monitorovacích zpráv z monitorování projektu po dobu udržitelnosti – tj. 5 let od ukončení projektu včetně zpracování pěti monitorovacích zpráv udržitelnosti projektu</w:t>
      </w:r>
      <w:bookmarkEnd w:id="96"/>
      <w:r>
        <w:rPr>
          <w:rFonts w:cs="Arial"/>
          <w:lang w:eastAsia="cs-CZ"/>
        </w:rPr>
        <w:t>, a to jednou za rok.</w:t>
      </w:r>
      <w:bookmarkEnd w:id="97"/>
      <w:bookmarkEnd w:id="98"/>
      <w:bookmarkEnd w:id="99"/>
      <w:bookmarkEnd w:id="100"/>
    </w:p>
    <w:p w:rsidR="00123E52" w:rsidRPr="006122C9"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101" w:name="_Toc464633911"/>
      <w:bookmarkStart w:id="102" w:name="_Toc464636987"/>
      <w:bookmarkStart w:id="103" w:name="_Toc465975261"/>
      <w:r>
        <w:t>administraci do příslušného elektronického systému pro vypracování žádosti o dotaci</w:t>
      </w:r>
      <w:bookmarkEnd w:id="101"/>
      <w:bookmarkEnd w:id="102"/>
      <w:bookmarkEnd w:id="103"/>
    </w:p>
    <w:p w:rsidR="00123E52" w:rsidRPr="006122C9" w:rsidRDefault="00123E52" w:rsidP="00123E52">
      <w:pPr>
        <w:widowControl w:val="0"/>
        <w:numPr>
          <w:ilvl w:val="2"/>
          <w:numId w:val="10"/>
        </w:numPr>
        <w:tabs>
          <w:tab w:val="left" w:pos="0"/>
          <w:tab w:val="center" w:pos="163"/>
        </w:tabs>
        <w:spacing w:before="0" w:after="0" w:line="240" w:lineRule="auto"/>
        <w:jc w:val="both"/>
        <w:outlineLvl w:val="0"/>
        <w:rPr>
          <w:rFonts w:cs="Arial"/>
          <w:lang w:eastAsia="cs-CZ"/>
        </w:rPr>
      </w:pPr>
      <w:bookmarkStart w:id="104" w:name="_Toc465975262"/>
      <w:r w:rsidRPr="006122C9">
        <w:rPr>
          <w:rFonts w:cs="Arial"/>
          <w:lang w:eastAsia="cs-CZ"/>
        </w:rPr>
        <w:t>administrace projektu po celou dobu udržitelnosti</w:t>
      </w:r>
      <w:bookmarkEnd w:id="104"/>
    </w:p>
    <w:p w:rsidR="00123E52" w:rsidRPr="00094FB9" w:rsidRDefault="00123E52" w:rsidP="00123E52">
      <w:pPr>
        <w:widowControl w:val="0"/>
        <w:numPr>
          <w:ilvl w:val="2"/>
          <w:numId w:val="10"/>
        </w:numPr>
        <w:tabs>
          <w:tab w:val="left" w:pos="0"/>
          <w:tab w:val="center" w:pos="163"/>
        </w:tabs>
        <w:spacing w:before="0" w:after="60" w:line="240" w:lineRule="auto"/>
        <w:jc w:val="both"/>
        <w:outlineLvl w:val="0"/>
        <w:rPr>
          <w:rFonts w:cs="Arial"/>
          <w:lang w:eastAsia="cs-CZ"/>
        </w:rPr>
      </w:pPr>
      <w:bookmarkStart w:id="105" w:name="_Toc465975263"/>
      <w:r w:rsidRPr="00094FB9">
        <w:rPr>
          <w:rFonts w:cs="Arial"/>
          <w:lang w:eastAsia="cs-CZ"/>
        </w:rPr>
        <w:t>administrace navazujících zadávacích řízení na příslušné veřejné zakázky (předpokládá se realizace jedné podlimitní veřejné zakázky na dodávky)</w:t>
      </w:r>
      <w:bookmarkEnd w:id="105"/>
    </w:p>
    <w:p w:rsidR="00607E04" w:rsidRPr="00094FB9" w:rsidRDefault="00123E52" w:rsidP="0054482A">
      <w:pPr>
        <w:widowControl w:val="0"/>
        <w:numPr>
          <w:ilvl w:val="1"/>
          <w:numId w:val="10"/>
        </w:numPr>
        <w:tabs>
          <w:tab w:val="left" w:pos="0"/>
          <w:tab w:val="center" w:pos="163"/>
        </w:tabs>
        <w:spacing w:before="0" w:after="60" w:line="240" w:lineRule="auto"/>
        <w:ind w:left="567" w:hanging="567"/>
        <w:jc w:val="both"/>
        <w:outlineLvl w:val="0"/>
        <w:rPr>
          <w:rFonts w:cs="Arial"/>
          <w:lang w:eastAsia="cs-CZ"/>
        </w:rPr>
      </w:pPr>
      <w:bookmarkStart w:id="106" w:name="_Toc442813408"/>
      <w:bookmarkStart w:id="107" w:name="_Toc443256911"/>
      <w:bookmarkStart w:id="108" w:name="_Toc464633912"/>
      <w:bookmarkStart w:id="109" w:name="_Toc464636988"/>
      <w:bookmarkStart w:id="110" w:name="_Toc465975264"/>
      <w:r w:rsidRPr="00094FB9">
        <w:t>Uchazeč vypracuje žádost o dotaci a poskytne konzultace a poradenskou činnost ke zpracování žádosti v so</w:t>
      </w:r>
      <w:r>
        <w:t xml:space="preserve">uladu s platnými dokumenty IROP. </w:t>
      </w:r>
      <w:r w:rsidRPr="00094FB9">
        <w:t xml:space="preserve">Uchazeč </w:t>
      </w:r>
      <w:r>
        <w:t>předá</w:t>
      </w:r>
      <w:r w:rsidRPr="002658E2">
        <w:t xml:space="preserve"> </w:t>
      </w:r>
      <w:r w:rsidRPr="00094FB9">
        <w:t xml:space="preserve">kompletní žádost o dotaci </w:t>
      </w:r>
      <w:r>
        <w:t xml:space="preserve">v elektronické podobě </w:t>
      </w:r>
      <w:r w:rsidRPr="00094FB9">
        <w:t xml:space="preserve">nejpozději </w:t>
      </w:r>
      <w:r w:rsidRPr="009349E7">
        <w:rPr>
          <w:b/>
        </w:rPr>
        <w:t xml:space="preserve">do </w:t>
      </w:r>
      <w:proofErr w:type="gramStart"/>
      <w:r w:rsidRPr="009349E7">
        <w:rPr>
          <w:b/>
        </w:rPr>
        <w:t>5ti</w:t>
      </w:r>
      <w:proofErr w:type="gramEnd"/>
      <w:r w:rsidRPr="009349E7">
        <w:rPr>
          <w:b/>
        </w:rPr>
        <w:t xml:space="preserve"> pracovních před ukončení příjmu žádostí v rámci výzvy č. 4 MAS Vladař o.p.s. </w:t>
      </w:r>
      <w:r w:rsidRPr="00094FB9">
        <w:t xml:space="preserve">Zároveň zpracuje i elektronickou žádost (včetně další administrace) v aktuálním informačním systému poskytovatele dotace </w:t>
      </w:r>
      <w:r>
        <w:rPr>
          <w:b/>
        </w:rPr>
        <w:t xml:space="preserve">a to v totožném termínu, uvedeném výše, tzn. nejpozději </w:t>
      </w:r>
      <w:r w:rsidRPr="009349E7">
        <w:rPr>
          <w:b/>
        </w:rPr>
        <w:t xml:space="preserve">do </w:t>
      </w:r>
      <w:proofErr w:type="gramStart"/>
      <w:r w:rsidRPr="009349E7">
        <w:rPr>
          <w:b/>
        </w:rPr>
        <w:t>5ti</w:t>
      </w:r>
      <w:proofErr w:type="gramEnd"/>
      <w:r w:rsidRPr="009349E7">
        <w:rPr>
          <w:b/>
        </w:rPr>
        <w:t xml:space="preserve"> pracovních před ukončení příjmu žádostí v rámci výzvy č. 4 MAS Vladař o.p.s</w:t>
      </w:r>
      <w:r>
        <w:rPr>
          <w:b/>
        </w:rPr>
        <w:t>.</w:t>
      </w:r>
      <w:r w:rsidRPr="00094FB9">
        <w:t xml:space="preserve"> Žádost bude obsahovat veškeré potřebné náležitosti včetně všech platných povinných příloh</w:t>
      </w:r>
      <w:r w:rsidRPr="009349E7">
        <w:rPr>
          <w:rFonts w:cs="Arial"/>
          <w:lang w:eastAsia="cs-CZ"/>
        </w:rPr>
        <w:t>.</w:t>
      </w:r>
      <w:bookmarkEnd w:id="106"/>
      <w:bookmarkEnd w:id="107"/>
      <w:bookmarkEnd w:id="108"/>
      <w:bookmarkEnd w:id="109"/>
      <w:bookmarkEnd w:id="110"/>
    </w:p>
    <w:p w:rsidR="00607E04" w:rsidRPr="003C3E23" w:rsidRDefault="00607E04" w:rsidP="0054482A">
      <w:pPr>
        <w:widowControl w:val="0"/>
        <w:numPr>
          <w:ilvl w:val="1"/>
          <w:numId w:val="10"/>
        </w:numPr>
        <w:tabs>
          <w:tab w:val="left" w:pos="0"/>
          <w:tab w:val="center" w:pos="163"/>
        </w:tabs>
        <w:spacing w:before="0" w:after="60" w:line="240" w:lineRule="auto"/>
        <w:ind w:left="567" w:hanging="567"/>
        <w:jc w:val="both"/>
        <w:outlineLvl w:val="0"/>
        <w:rPr>
          <w:rFonts w:cs="Arial"/>
          <w:lang w:eastAsia="cs-CZ"/>
        </w:rPr>
      </w:pPr>
      <w:bookmarkStart w:id="111" w:name="_Toc442813409"/>
      <w:bookmarkStart w:id="112" w:name="_Toc443256912"/>
      <w:bookmarkStart w:id="113" w:name="_Toc464633913"/>
      <w:bookmarkStart w:id="114" w:name="_Toc464636989"/>
      <w:bookmarkStart w:id="115" w:name="_Toc465975265"/>
      <w:r w:rsidRPr="003C3E23">
        <w:rPr>
          <w:rFonts w:cs="Arial"/>
          <w:lang w:eastAsia="cs-CZ"/>
        </w:rPr>
        <w:t>Zadavatel se zavazuje, že ve smyslu příslušných ustanovení Občanského zákoníku podmínek dále sjednaných v návrhu smlouvy, uhradí uchazeči sjednanou cenu v této smlouvě, a dále že bude průběžně spolupůsobit a plnit nepřenosné činnosti v rozsahu určeném touto smlouvou.</w:t>
      </w:r>
      <w:bookmarkEnd w:id="111"/>
      <w:bookmarkEnd w:id="112"/>
      <w:bookmarkEnd w:id="113"/>
      <w:bookmarkEnd w:id="114"/>
      <w:bookmarkEnd w:id="115"/>
    </w:p>
    <w:p w:rsidR="00607E04" w:rsidRPr="003C3E23" w:rsidRDefault="00607E04" w:rsidP="0054482A">
      <w:pPr>
        <w:widowControl w:val="0"/>
        <w:numPr>
          <w:ilvl w:val="1"/>
          <w:numId w:val="10"/>
        </w:numPr>
        <w:tabs>
          <w:tab w:val="left" w:pos="0"/>
          <w:tab w:val="center" w:pos="163"/>
        </w:tabs>
        <w:spacing w:before="0" w:after="60" w:line="240" w:lineRule="auto"/>
        <w:ind w:left="567" w:hanging="567"/>
        <w:jc w:val="both"/>
        <w:outlineLvl w:val="0"/>
        <w:rPr>
          <w:rFonts w:cs="Arial"/>
          <w:lang w:eastAsia="cs-CZ"/>
        </w:rPr>
      </w:pPr>
      <w:bookmarkStart w:id="116" w:name="_Toc442813410"/>
      <w:bookmarkStart w:id="117" w:name="_Toc443256913"/>
      <w:bookmarkStart w:id="118" w:name="_Toc464633914"/>
      <w:bookmarkStart w:id="119" w:name="_Toc464636990"/>
      <w:bookmarkStart w:id="120" w:name="_Toc465975266"/>
      <w:r w:rsidRPr="003C3E23">
        <w:rPr>
          <w:rFonts w:cs="Arial"/>
          <w:lang w:eastAsia="cs-CZ"/>
        </w:rPr>
        <w:t xml:space="preserve">Žádost bude zpracována tak, aby byla přijata bez výhrad příslušným pracovištěm IROP. Závazek zhotovitele ke zpracování žádosti se považuje pro účely zaplacení ceny díla, resp. její příslušné části za splněný, pokud žádost </w:t>
      </w:r>
      <w:r w:rsidRPr="0002079F">
        <w:rPr>
          <w:rFonts w:cs="Arial"/>
          <w:lang w:eastAsia="cs-CZ"/>
        </w:rPr>
        <w:t xml:space="preserve">splní podmínky formálního hodnocení a hodnocení přijatelnosti </w:t>
      </w:r>
      <w:r w:rsidRPr="003C3E23">
        <w:rPr>
          <w:rFonts w:cs="Arial"/>
          <w:lang w:eastAsia="cs-CZ"/>
        </w:rPr>
        <w:t xml:space="preserve">příslušným pracovištěm IROP. </w:t>
      </w:r>
      <w:r w:rsidRPr="003C3E23">
        <w:rPr>
          <w:rFonts w:cs="Times New Roman"/>
          <w:lang w:eastAsia="cs-CZ"/>
        </w:rPr>
        <w:t>Zhotovitel tedy odpovídá i za kompletaci žádosti a bere na vědomí, že v případě formálních chyb či nedostatků odevzdané žádosti, mu nevznikne nárok na odměnu.</w:t>
      </w:r>
      <w:bookmarkEnd w:id="116"/>
      <w:bookmarkEnd w:id="117"/>
      <w:bookmarkEnd w:id="118"/>
      <w:bookmarkEnd w:id="119"/>
      <w:bookmarkEnd w:id="120"/>
    </w:p>
    <w:p w:rsidR="00607E04" w:rsidRPr="003C3E23" w:rsidRDefault="00607E04" w:rsidP="00607E04">
      <w:pPr>
        <w:widowControl w:val="0"/>
        <w:tabs>
          <w:tab w:val="left" w:pos="567"/>
        </w:tabs>
        <w:spacing w:before="360" w:after="60" w:line="240" w:lineRule="auto"/>
        <w:ind w:left="567" w:hanging="567"/>
        <w:jc w:val="center"/>
        <w:outlineLvl w:val="0"/>
        <w:rPr>
          <w:rFonts w:cs="Arial"/>
          <w:b/>
          <w:i/>
          <w:sz w:val="24"/>
          <w:lang w:eastAsia="cs-CZ"/>
        </w:rPr>
      </w:pPr>
      <w:bookmarkStart w:id="121" w:name="_Toc442813411"/>
      <w:bookmarkStart w:id="122" w:name="_Toc443256914"/>
      <w:bookmarkStart w:id="123" w:name="_Toc464633915"/>
      <w:bookmarkStart w:id="124" w:name="_Toc464636991"/>
      <w:bookmarkStart w:id="125" w:name="_Toc465975267"/>
      <w:r w:rsidRPr="003C3E23">
        <w:rPr>
          <w:rFonts w:cs="Arial"/>
          <w:b/>
          <w:i/>
          <w:lang w:eastAsia="cs-CZ"/>
        </w:rPr>
        <w:t xml:space="preserve">IV. </w:t>
      </w:r>
      <w:r w:rsidRPr="003C3E23">
        <w:rPr>
          <w:rFonts w:cs="Times New Roman"/>
          <w:b/>
          <w:i/>
          <w:szCs w:val="20"/>
          <w:lang w:eastAsia="cs-CZ"/>
        </w:rPr>
        <w:t>Termín plnění</w:t>
      </w:r>
      <w:bookmarkEnd w:id="121"/>
      <w:bookmarkEnd w:id="122"/>
      <w:bookmarkEnd w:id="123"/>
      <w:bookmarkEnd w:id="124"/>
      <w:bookmarkEnd w:id="125"/>
    </w:p>
    <w:p w:rsidR="00607E04" w:rsidRPr="003C3E23" w:rsidRDefault="00607E04" w:rsidP="00607E04">
      <w:pPr>
        <w:widowControl w:val="0"/>
        <w:numPr>
          <w:ilvl w:val="0"/>
          <w:numId w:val="3"/>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szCs w:val="24"/>
          <w:lang w:eastAsia="cs-CZ"/>
        </w:rPr>
      </w:pPr>
    </w:p>
    <w:p w:rsidR="00607E04" w:rsidRPr="003C3E23" w:rsidRDefault="00607E04" w:rsidP="00607E04">
      <w:pPr>
        <w:widowControl w:val="0"/>
        <w:numPr>
          <w:ilvl w:val="0"/>
          <w:numId w:val="3"/>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szCs w:val="24"/>
          <w:lang w:eastAsia="cs-CZ"/>
        </w:rPr>
      </w:pPr>
    </w:p>
    <w:p w:rsidR="00607E04" w:rsidRPr="003C3E23" w:rsidRDefault="00607E04" w:rsidP="00607E04">
      <w:pPr>
        <w:widowControl w:val="0"/>
        <w:numPr>
          <w:ilvl w:val="0"/>
          <w:numId w:val="3"/>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szCs w:val="24"/>
          <w:lang w:eastAsia="cs-CZ"/>
        </w:rPr>
      </w:pPr>
    </w:p>
    <w:p w:rsidR="00607E04" w:rsidRPr="003C3E23" w:rsidRDefault="00607E04" w:rsidP="00607E04">
      <w:pPr>
        <w:widowControl w:val="0"/>
        <w:numPr>
          <w:ilvl w:val="0"/>
          <w:numId w:val="3"/>
        </w:numPr>
        <w:tabs>
          <w:tab w:val="left" w:pos="0"/>
          <w:tab w:val="center" w:pos="163"/>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szCs w:val="24"/>
          <w:lang w:eastAsia="cs-CZ"/>
        </w:rPr>
      </w:pPr>
    </w:p>
    <w:p w:rsidR="00607E04" w:rsidRPr="00480711" w:rsidRDefault="00123E52" w:rsidP="00607E04">
      <w:pPr>
        <w:widowControl w:val="0"/>
        <w:numPr>
          <w:ilvl w:val="1"/>
          <w:numId w:val="3"/>
        </w:numPr>
        <w:tabs>
          <w:tab w:val="left" w:pos="0"/>
          <w:tab w:val="center" w:pos="163"/>
        </w:tabs>
        <w:spacing w:before="0" w:after="60" w:line="240" w:lineRule="auto"/>
        <w:ind w:left="567" w:hanging="567"/>
        <w:jc w:val="both"/>
        <w:rPr>
          <w:rFonts w:cs="Arial"/>
          <w:szCs w:val="24"/>
          <w:lang w:eastAsia="cs-CZ"/>
        </w:rPr>
      </w:pPr>
      <w:r w:rsidRPr="001D1852">
        <w:rPr>
          <w:rFonts w:cs="Arial"/>
          <w:szCs w:val="24"/>
          <w:lang w:eastAsia="cs-CZ"/>
        </w:rPr>
        <w:t xml:space="preserve">Zhotovitel se zavazuje provést dílo, resp. podat kompletní žádost příslušnému pracovišti IROP </w:t>
      </w:r>
      <w:r w:rsidRPr="001D1852">
        <w:rPr>
          <w:rFonts w:cs="Arial"/>
          <w:b/>
          <w:szCs w:val="24"/>
          <w:lang w:eastAsia="cs-CZ"/>
        </w:rPr>
        <w:t>řádně a včas dle termínu pro</w:t>
      </w:r>
      <w:r w:rsidRPr="001D1852">
        <w:rPr>
          <w:rFonts w:cs="Arial"/>
          <w:szCs w:val="24"/>
          <w:lang w:eastAsia="cs-CZ"/>
        </w:rPr>
        <w:t xml:space="preserve"> </w:t>
      </w:r>
      <w:r w:rsidRPr="001D1852">
        <w:rPr>
          <w:b/>
        </w:rPr>
        <w:t>ukončení příjmu žádostí v rámci výzvy č. 4 MAS Vladař o.p.s.</w:t>
      </w:r>
    </w:p>
    <w:p w:rsidR="00607E04" w:rsidRDefault="00607E04" w:rsidP="00607E04">
      <w:pPr>
        <w:widowControl w:val="0"/>
        <w:numPr>
          <w:ilvl w:val="1"/>
          <w:numId w:val="3"/>
        </w:numPr>
        <w:tabs>
          <w:tab w:val="left" w:pos="0"/>
          <w:tab w:val="center" w:pos="163"/>
        </w:tabs>
        <w:spacing w:before="0" w:after="60" w:line="240" w:lineRule="auto"/>
        <w:ind w:left="567" w:hanging="567"/>
        <w:jc w:val="both"/>
        <w:rPr>
          <w:rFonts w:cs="Arial"/>
          <w:szCs w:val="24"/>
          <w:lang w:eastAsia="cs-CZ"/>
        </w:rPr>
      </w:pPr>
      <w:r w:rsidRPr="00480711">
        <w:rPr>
          <w:rFonts w:cs="Arial"/>
          <w:szCs w:val="24"/>
          <w:lang w:eastAsia="cs-CZ"/>
        </w:rPr>
        <w:t>V případě získání dotace pak ostatní výkony, zejména pak monitorovací zprávy budou vždy</w:t>
      </w:r>
      <w:r w:rsidRPr="001A4785">
        <w:rPr>
          <w:rFonts w:cs="Arial"/>
          <w:szCs w:val="24"/>
          <w:lang w:eastAsia="cs-CZ"/>
        </w:rPr>
        <w:t xml:space="preserve"> zpracovány a předány v souladu s uzavřenou smlouvou a harmonogramem projektu IROP, se kterými bude zhotovitel seznámen.</w:t>
      </w:r>
    </w:p>
    <w:p w:rsidR="0054482A" w:rsidRDefault="0054482A">
      <w:pPr>
        <w:spacing w:before="0" w:after="200"/>
        <w:rPr>
          <w:rFonts w:cs="Arial"/>
          <w:b/>
          <w:i/>
          <w:lang w:eastAsia="cs-CZ"/>
        </w:rPr>
      </w:pPr>
      <w:bookmarkStart w:id="126" w:name="_Toc442813412"/>
      <w:bookmarkStart w:id="127" w:name="_Toc443256915"/>
      <w:bookmarkStart w:id="128" w:name="_Toc464633916"/>
      <w:bookmarkStart w:id="129" w:name="_Toc464636992"/>
      <w:bookmarkStart w:id="130" w:name="_Toc465975268"/>
      <w:r>
        <w:rPr>
          <w:rFonts w:cs="Arial"/>
          <w:b/>
          <w:i/>
          <w:lang w:eastAsia="cs-CZ"/>
        </w:rPr>
        <w:br w:type="page"/>
      </w:r>
    </w:p>
    <w:p w:rsidR="00607E04" w:rsidRPr="003C3E23" w:rsidRDefault="00607E04" w:rsidP="00607E04">
      <w:pPr>
        <w:widowControl w:val="0"/>
        <w:tabs>
          <w:tab w:val="left" w:pos="-284"/>
          <w:tab w:val="left" w:pos="0"/>
          <w:tab w:val="center" w:pos="163"/>
        </w:tabs>
        <w:spacing w:before="360" w:after="60" w:line="240" w:lineRule="auto"/>
        <w:ind w:left="142" w:hanging="142"/>
        <w:jc w:val="center"/>
        <w:outlineLvl w:val="0"/>
        <w:rPr>
          <w:rFonts w:cs="Arial"/>
          <w:b/>
          <w:i/>
          <w:lang w:eastAsia="cs-CZ"/>
        </w:rPr>
      </w:pPr>
      <w:r w:rsidRPr="003C3E23">
        <w:rPr>
          <w:rFonts w:cs="Arial"/>
          <w:b/>
          <w:i/>
          <w:lang w:eastAsia="cs-CZ"/>
        </w:rPr>
        <w:lastRenderedPageBreak/>
        <w:t>V. Cena za dílo</w:t>
      </w:r>
      <w:bookmarkEnd w:id="126"/>
      <w:bookmarkEnd w:id="127"/>
      <w:bookmarkEnd w:id="128"/>
      <w:bookmarkEnd w:id="129"/>
      <w:bookmarkEnd w:id="130"/>
    </w:p>
    <w:p w:rsidR="00607E04" w:rsidRPr="003C3E23" w:rsidRDefault="00607E04" w:rsidP="00607E04">
      <w:pPr>
        <w:widowControl w:val="0"/>
        <w:numPr>
          <w:ilvl w:val="0"/>
          <w:numId w:val="4"/>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vanish/>
          <w:lang w:eastAsia="cs-CZ"/>
        </w:rPr>
      </w:pPr>
    </w:p>
    <w:p w:rsidR="00607E04" w:rsidRPr="003C3E23" w:rsidRDefault="00607E04" w:rsidP="00607E04">
      <w:pPr>
        <w:widowControl w:val="0"/>
        <w:numPr>
          <w:ilvl w:val="0"/>
          <w:numId w:val="4"/>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vanish/>
          <w:lang w:eastAsia="cs-CZ"/>
        </w:rPr>
      </w:pPr>
    </w:p>
    <w:p w:rsidR="00607E04" w:rsidRPr="003C3E23" w:rsidRDefault="00607E04" w:rsidP="00607E04">
      <w:pPr>
        <w:widowControl w:val="0"/>
        <w:numPr>
          <w:ilvl w:val="0"/>
          <w:numId w:val="4"/>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vanish/>
          <w:lang w:eastAsia="cs-CZ"/>
        </w:rPr>
      </w:pPr>
    </w:p>
    <w:p w:rsidR="00607E04" w:rsidRPr="003C3E23" w:rsidRDefault="00607E04" w:rsidP="00607E04">
      <w:pPr>
        <w:widowControl w:val="0"/>
        <w:numPr>
          <w:ilvl w:val="0"/>
          <w:numId w:val="4"/>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vanish/>
          <w:lang w:eastAsia="cs-CZ"/>
        </w:rPr>
      </w:pPr>
    </w:p>
    <w:p w:rsidR="00607E04" w:rsidRPr="003C3E23" w:rsidRDefault="00607E04" w:rsidP="00607E04">
      <w:pPr>
        <w:widowControl w:val="0"/>
        <w:numPr>
          <w:ilvl w:val="0"/>
          <w:numId w:val="4"/>
        </w:numPr>
        <w:tabs>
          <w:tab w:val="left" w:pos="0"/>
          <w:tab w:val="center" w:pos="163"/>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jc w:val="both"/>
        <w:rPr>
          <w:rFonts w:cs="Arial"/>
          <w:vanish/>
          <w:lang w:eastAsia="cs-CZ"/>
        </w:rPr>
      </w:pPr>
    </w:p>
    <w:p w:rsidR="00123E52" w:rsidRDefault="00123E52" w:rsidP="00123E52">
      <w:pPr>
        <w:widowControl w:val="0"/>
        <w:numPr>
          <w:ilvl w:val="1"/>
          <w:numId w:val="4"/>
        </w:numPr>
        <w:tabs>
          <w:tab w:val="left" w:pos="0"/>
          <w:tab w:val="center" w:pos="163"/>
        </w:tabs>
        <w:spacing w:before="0" w:after="0" w:line="240" w:lineRule="auto"/>
        <w:ind w:left="426"/>
        <w:jc w:val="both"/>
        <w:rPr>
          <w:rFonts w:cs="Arial"/>
          <w:lang w:eastAsia="cs-CZ"/>
        </w:rPr>
      </w:pPr>
      <w:r w:rsidRPr="003C3E23">
        <w:rPr>
          <w:rFonts w:cs="Arial"/>
          <w:lang w:eastAsia="cs-CZ"/>
        </w:rPr>
        <w:t>Cena za zhotovení předmětu plnění dle této smlouvy je cenou stanovenou dle nabídky zhotovitele do veřejné zakázky a považuje se za cenu maximální a nepřekročitelnou směrem nahoru, a to ve výši</w:t>
      </w:r>
      <w:r>
        <w:rPr>
          <w:rFonts w:cs="Arial"/>
          <w:lang w:eastAsia="cs-CZ"/>
        </w:rPr>
        <w:t xml:space="preserve"> </w:t>
      </w:r>
      <w:proofErr w:type="gramStart"/>
      <w:r>
        <w:rPr>
          <w:rFonts w:cs="Arial"/>
          <w:lang w:eastAsia="cs-CZ"/>
        </w:rPr>
        <w:t>za</w:t>
      </w:r>
      <w:proofErr w:type="gramEnd"/>
      <w:r w:rsidRPr="003C3E23">
        <w:rPr>
          <w:rFonts w:cs="Arial"/>
          <w:lang w:eastAsia="cs-CZ"/>
        </w:rPr>
        <w:t>:</w:t>
      </w:r>
    </w:p>
    <w:p w:rsidR="00123E52" w:rsidRDefault="00123E52" w:rsidP="00123E52">
      <w:pPr>
        <w:widowControl w:val="0"/>
        <w:tabs>
          <w:tab w:val="left" w:pos="0"/>
          <w:tab w:val="center" w:pos="163"/>
        </w:tabs>
        <w:spacing w:before="0" w:after="0" w:line="240" w:lineRule="auto"/>
        <w:ind w:left="426"/>
        <w:jc w:val="both"/>
        <w:rPr>
          <w:rFonts w:cs="Arial"/>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5"/>
        <w:gridCol w:w="2268"/>
        <w:gridCol w:w="1417"/>
        <w:gridCol w:w="2291"/>
      </w:tblGrid>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rPr>
                <w:rFonts w:cs="Times New Roman"/>
                <w:b/>
                <w:sz w:val="18"/>
                <w:szCs w:val="18"/>
                <w:lang w:eastAsia="cs-CZ"/>
              </w:rPr>
            </w:pPr>
            <w:r w:rsidRPr="00AF0162">
              <w:rPr>
                <w:rFonts w:cs="Times New Roman"/>
                <w:b/>
                <w:sz w:val="18"/>
                <w:szCs w:val="18"/>
                <w:lang w:eastAsia="cs-CZ"/>
              </w:rPr>
              <w:t xml:space="preserve">dílčí plnění </w:t>
            </w:r>
          </w:p>
        </w:tc>
      </w:tr>
      <w:tr w:rsidR="00123E52" w:rsidRPr="00AF016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b/>
                <w:sz w:val="18"/>
                <w:szCs w:val="18"/>
                <w:lang w:eastAsia="cs-CZ"/>
              </w:rPr>
            </w:pPr>
            <w:r w:rsidRPr="00AF0162">
              <w:rPr>
                <w:rFonts w:cs="Times New Roman"/>
                <w:b/>
                <w:sz w:val="18"/>
                <w:szCs w:val="18"/>
                <w:lang w:eastAsia="cs-CZ"/>
              </w:rPr>
              <w:t>cena za dílčí plnění</w:t>
            </w:r>
          </w:p>
        </w:tc>
        <w:tc>
          <w:tcPr>
            <w:tcW w:w="2268" w:type="dxa"/>
            <w:vAlign w:val="center"/>
          </w:tcPr>
          <w:p w:rsidR="00123E52" w:rsidRPr="00AF0162" w:rsidRDefault="00123E52" w:rsidP="00282365">
            <w:pPr>
              <w:spacing w:before="60" w:after="60" w:line="240" w:lineRule="auto"/>
              <w:jc w:val="center"/>
              <w:rPr>
                <w:rFonts w:cs="Times New Roman"/>
                <w:b/>
                <w:sz w:val="18"/>
                <w:szCs w:val="18"/>
                <w:lang w:eastAsia="cs-CZ"/>
              </w:rPr>
            </w:pPr>
            <w:r w:rsidRPr="00AF0162">
              <w:rPr>
                <w:rFonts w:cs="Times New Roman"/>
                <w:b/>
                <w:sz w:val="18"/>
                <w:szCs w:val="18"/>
                <w:lang w:eastAsia="cs-CZ"/>
              </w:rPr>
              <w:t>bez DPH</w:t>
            </w:r>
          </w:p>
        </w:tc>
        <w:tc>
          <w:tcPr>
            <w:tcW w:w="1417" w:type="dxa"/>
            <w:vAlign w:val="center"/>
          </w:tcPr>
          <w:p w:rsidR="00123E52" w:rsidRPr="00AF0162" w:rsidRDefault="00123E52" w:rsidP="00282365">
            <w:pPr>
              <w:spacing w:before="60" w:after="60" w:line="240" w:lineRule="auto"/>
              <w:jc w:val="center"/>
              <w:rPr>
                <w:rFonts w:cs="Times New Roman"/>
                <w:b/>
                <w:sz w:val="18"/>
                <w:szCs w:val="18"/>
                <w:lang w:eastAsia="cs-CZ"/>
              </w:rPr>
            </w:pPr>
            <w:r w:rsidRPr="00AF0162">
              <w:rPr>
                <w:rFonts w:cs="Times New Roman"/>
                <w:b/>
                <w:sz w:val="18"/>
                <w:szCs w:val="18"/>
                <w:lang w:eastAsia="cs-CZ"/>
              </w:rPr>
              <w:t>DPH %</w:t>
            </w:r>
          </w:p>
        </w:tc>
        <w:tc>
          <w:tcPr>
            <w:tcW w:w="2291" w:type="dxa"/>
            <w:tcBorders>
              <w:right w:val="single" w:sz="8" w:space="0" w:color="auto"/>
            </w:tcBorders>
            <w:vAlign w:val="center"/>
          </w:tcPr>
          <w:p w:rsidR="00123E52" w:rsidRPr="00AF0162" w:rsidRDefault="00123E52" w:rsidP="00282365">
            <w:pPr>
              <w:spacing w:before="60" w:after="60" w:line="240" w:lineRule="auto"/>
              <w:jc w:val="center"/>
              <w:rPr>
                <w:rFonts w:cs="Times New Roman"/>
                <w:b/>
                <w:sz w:val="18"/>
                <w:szCs w:val="18"/>
                <w:lang w:eastAsia="cs-CZ"/>
              </w:rPr>
            </w:pPr>
            <w:r w:rsidRPr="00AF0162">
              <w:rPr>
                <w:rFonts w:cs="Times New Roman"/>
                <w:b/>
                <w:sz w:val="18"/>
                <w:szCs w:val="18"/>
                <w:lang w:eastAsia="cs-CZ"/>
              </w:rPr>
              <w:t>vč. DPH</w:t>
            </w:r>
          </w:p>
        </w:tc>
      </w:tr>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jc w:val="both"/>
              <w:rPr>
                <w:rFonts w:cs="Times New Roman"/>
                <w:b/>
                <w:sz w:val="18"/>
                <w:szCs w:val="18"/>
                <w:lang w:eastAsia="cs-CZ"/>
              </w:rPr>
            </w:pPr>
            <w:r w:rsidRPr="00AF0162">
              <w:rPr>
                <w:rFonts w:cs="Times New Roman"/>
                <w:b/>
                <w:sz w:val="18"/>
                <w:szCs w:val="18"/>
                <w:lang w:eastAsia="cs-CZ"/>
              </w:rPr>
              <w:t>1) vypracování a podání žádosti o dotaci (včetně povinných příloh a zavedení a administrace do elektronického systému poskytovatele dotace a příslušných souvisejících činností)</w:t>
            </w:r>
          </w:p>
        </w:tc>
      </w:tr>
      <w:tr w:rsidR="00123E52" w:rsidRPr="00AF016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sz w:val="18"/>
                <w:szCs w:val="18"/>
                <w:lang w:eastAsia="cs-CZ"/>
              </w:rPr>
            </w:pPr>
            <w:r w:rsidRPr="00AF0162">
              <w:rPr>
                <w:rFonts w:cs="Times New Roman"/>
                <w:b/>
                <w:sz w:val="18"/>
                <w:szCs w:val="18"/>
                <w:lang w:eastAsia="cs-CZ"/>
              </w:rPr>
              <w:t>Nabídková cena v Kč</w:t>
            </w:r>
          </w:p>
        </w:tc>
        <w:tc>
          <w:tcPr>
            <w:tcW w:w="2268" w:type="dxa"/>
            <w:tcBorders>
              <w:top w:val="single" w:sz="2" w:space="0" w:color="auto"/>
            </w:tcBorders>
            <w:vAlign w:val="center"/>
          </w:tcPr>
          <w:p w:rsidR="00123E52" w:rsidRPr="00AF0162" w:rsidRDefault="00123E52" w:rsidP="00282365">
            <w:pPr>
              <w:spacing w:before="60" w:after="60" w:line="240" w:lineRule="auto"/>
              <w:jc w:val="center"/>
              <w:rPr>
                <w:b/>
                <w:sz w:val="18"/>
                <w:szCs w:val="18"/>
              </w:rPr>
            </w:pPr>
            <w:r w:rsidRPr="00AF0162">
              <w:rPr>
                <w:b/>
                <w:sz w:val="18"/>
                <w:szCs w:val="18"/>
              </w:rPr>
              <w:t>1,- Kč</w:t>
            </w:r>
          </w:p>
        </w:tc>
        <w:tc>
          <w:tcPr>
            <w:tcW w:w="1417" w:type="dxa"/>
            <w:tcBorders>
              <w:top w:val="single" w:sz="2" w:space="0" w:color="auto"/>
            </w:tcBorders>
            <w:vAlign w:val="center"/>
          </w:tcPr>
          <w:p w:rsidR="00123E52" w:rsidRPr="00AF0162" w:rsidRDefault="00123E52" w:rsidP="00282365">
            <w:pPr>
              <w:spacing w:before="60" w:after="60" w:line="240" w:lineRule="auto"/>
              <w:jc w:val="center"/>
              <w:rPr>
                <w:sz w:val="18"/>
                <w:szCs w:val="18"/>
              </w:rPr>
            </w:pPr>
            <w:r w:rsidRPr="00AF0162">
              <w:rPr>
                <w:sz w:val="18"/>
                <w:szCs w:val="18"/>
              </w:rPr>
              <w:t>0,21,- Kč</w:t>
            </w:r>
          </w:p>
        </w:tc>
        <w:tc>
          <w:tcPr>
            <w:tcW w:w="2291" w:type="dxa"/>
            <w:tcBorders>
              <w:top w:val="single" w:sz="2" w:space="0" w:color="auto"/>
              <w:right w:val="single" w:sz="8" w:space="0" w:color="auto"/>
            </w:tcBorders>
            <w:vAlign w:val="center"/>
          </w:tcPr>
          <w:p w:rsidR="00123E52" w:rsidRPr="00AF0162" w:rsidRDefault="00123E52" w:rsidP="00282365">
            <w:pPr>
              <w:spacing w:before="60" w:after="60" w:line="240" w:lineRule="auto"/>
              <w:jc w:val="center"/>
              <w:rPr>
                <w:b/>
                <w:sz w:val="18"/>
                <w:szCs w:val="18"/>
              </w:rPr>
            </w:pPr>
            <w:r w:rsidRPr="00AF0162">
              <w:rPr>
                <w:rFonts w:cs="Times New Roman"/>
                <w:b/>
                <w:sz w:val="18"/>
                <w:szCs w:val="18"/>
                <w:lang w:eastAsia="cs-CZ"/>
              </w:rPr>
              <w:t>1,21,- Kč</w:t>
            </w:r>
          </w:p>
        </w:tc>
      </w:tr>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jc w:val="both"/>
              <w:rPr>
                <w:rFonts w:cs="Times New Roman"/>
                <w:b/>
                <w:sz w:val="18"/>
                <w:szCs w:val="18"/>
                <w:lang w:eastAsia="cs-CZ"/>
              </w:rPr>
            </w:pPr>
            <w:r w:rsidRPr="00AF0162">
              <w:rPr>
                <w:rFonts w:cs="Times New Roman"/>
                <w:sz w:val="18"/>
                <w:szCs w:val="18"/>
                <w:lang w:eastAsia="cs-CZ"/>
              </w:rPr>
              <w:t xml:space="preserve">2) </w:t>
            </w:r>
            <w:r w:rsidRPr="00AF0162">
              <w:rPr>
                <w:rFonts w:cs="Times New Roman"/>
                <w:b/>
                <w:sz w:val="18"/>
                <w:szCs w:val="18"/>
                <w:lang w:eastAsia="cs-CZ"/>
              </w:rPr>
              <w:t>vypracování studie proveditelnosti</w:t>
            </w:r>
          </w:p>
        </w:tc>
      </w:tr>
      <w:tr w:rsidR="00123E52" w:rsidRPr="00AF016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sz w:val="18"/>
                <w:szCs w:val="18"/>
                <w:lang w:eastAsia="cs-CZ"/>
              </w:rPr>
            </w:pPr>
            <w:r w:rsidRPr="00AF0162">
              <w:rPr>
                <w:rFonts w:cs="Times New Roman"/>
                <w:b/>
                <w:sz w:val="18"/>
                <w:szCs w:val="18"/>
                <w:lang w:eastAsia="cs-CZ"/>
              </w:rPr>
              <w:t>Nabídková cena v Kč</w:t>
            </w:r>
          </w:p>
        </w:tc>
        <w:tc>
          <w:tcPr>
            <w:tcW w:w="2268" w:type="dxa"/>
            <w:tcBorders>
              <w:top w:val="single" w:sz="2" w:space="0" w:color="auto"/>
            </w:tcBorders>
            <w:vAlign w:val="center"/>
          </w:tcPr>
          <w:p w:rsidR="00123E52" w:rsidRPr="00AF0162" w:rsidRDefault="00123E52" w:rsidP="00282365">
            <w:pPr>
              <w:spacing w:before="60" w:after="60" w:line="240" w:lineRule="auto"/>
              <w:jc w:val="center"/>
              <w:rPr>
                <w:b/>
                <w:sz w:val="18"/>
                <w:szCs w:val="18"/>
              </w:rPr>
            </w:pPr>
            <w:r>
              <w:rPr>
                <w:b/>
                <w:sz w:val="18"/>
                <w:szCs w:val="18"/>
              </w:rPr>
              <w:t>35</w:t>
            </w:r>
            <w:r w:rsidRPr="00AF0162">
              <w:rPr>
                <w:b/>
                <w:sz w:val="18"/>
                <w:szCs w:val="18"/>
              </w:rPr>
              <w:t> 000,- Kč</w:t>
            </w:r>
          </w:p>
        </w:tc>
        <w:tc>
          <w:tcPr>
            <w:tcW w:w="1417" w:type="dxa"/>
            <w:tcBorders>
              <w:top w:val="single" w:sz="2" w:space="0" w:color="auto"/>
            </w:tcBorders>
            <w:vAlign w:val="center"/>
          </w:tcPr>
          <w:p w:rsidR="00123E52" w:rsidRPr="00AF0162" w:rsidRDefault="00123E52" w:rsidP="00282365">
            <w:pPr>
              <w:spacing w:before="60" w:after="60" w:line="240" w:lineRule="auto"/>
              <w:jc w:val="center"/>
              <w:rPr>
                <w:sz w:val="18"/>
                <w:szCs w:val="18"/>
              </w:rPr>
            </w:pPr>
            <w:r>
              <w:rPr>
                <w:sz w:val="18"/>
                <w:szCs w:val="18"/>
              </w:rPr>
              <w:t>7 350</w:t>
            </w:r>
            <w:r w:rsidRPr="00AF0162">
              <w:rPr>
                <w:sz w:val="18"/>
                <w:szCs w:val="18"/>
              </w:rPr>
              <w:t>,- Kč</w:t>
            </w:r>
          </w:p>
        </w:tc>
        <w:tc>
          <w:tcPr>
            <w:tcW w:w="2291" w:type="dxa"/>
            <w:tcBorders>
              <w:top w:val="single" w:sz="2" w:space="0" w:color="auto"/>
              <w:right w:val="single" w:sz="8" w:space="0" w:color="auto"/>
            </w:tcBorders>
            <w:vAlign w:val="center"/>
          </w:tcPr>
          <w:p w:rsidR="00123E52" w:rsidRPr="00AF0162" w:rsidRDefault="00123E52" w:rsidP="00282365">
            <w:pPr>
              <w:spacing w:before="60" w:after="60" w:line="240" w:lineRule="auto"/>
              <w:jc w:val="center"/>
              <w:rPr>
                <w:b/>
                <w:sz w:val="18"/>
                <w:szCs w:val="18"/>
              </w:rPr>
            </w:pPr>
            <w:r>
              <w:rPr>
                <w:b/>
                <w:sz w:val="18"/>
                <w:szCs w:val="18"/>
              </w:rPr>
              <w:t>42 350</w:t>
            </w:r>
            <w:r w:rsidRPr="00AF0162">
              <w:rPr>
                <w:b/>
                <w:sz w:val="18"/>
                <w:szCs w:val="18"/>
              </w:rPr>
              <w:t>,- Kč</w:t>
            </w:r>
          </w:p>
        </w:tc>
      </w:tr>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jc w:val="both"/>
              <w:rPr>
                <w:rFonts w:cs="Times New Roman"/>
                <w:b/>
                <w:sz w:val="18"/>
                <w:szCs w:val="18"/>
                <w:lang w:eastAsia="cs-CZ"/>
              </w:rPr>
            </w:pPr>
            <w:r w:rsidRPr="00AF0162">
              <w:rPr>
                <w:rFonts w:cs="Times New Roman"/>
                <w:sz w:val="18"/>
                <w:szCs w:val="18"/>
                <w:lang w:eastAsia="cs-CZ"/>
              </w:rPr>
              <w:t xml:space="preserve">3) vypracování a podání každé jedné </w:t>
            </w:r>
            <w:r w:rsidRPr="00AF0162">
              <w:rPr>
                <w:rFonts w:cs="Times New Roman"/>
                <w:b/>
                <w:sz w:val="18"/>
                <w:szCs w:val="18"/>
                <w:lang w:eastAsia="cs-CZ"/>
              </w:rPr>
              <w:t xml:space="preserve">průběžné </w:t>
            </w:r>
            <w:r>
              <w:rPr>
                <w:rFonts w:cs="Times New Roman"/>
                <w:b/>
                <w:sz w:val="18"/>
                <w:szCs w:val="18"/>
                <w:lang w:eastAsia="cs-CZ"/>
              </w:rPr>
              <w:t>zprávy o realizaci</w:t>
            </w:r>
            <w:r w:rsidRPr="00AF0162">
              <w:rPr>
                <w:rFonts w:cs="Times New Roman"/>
                <w:sz w:val="18"/>
                <w:szCs w:val="18"/>
                <w:lang w:eastAsia="cs-CZ"/>
              </w:rPr>
              <w:t xml:space="preserve"> </w:t>
            </w:r>
            <w:r w:rsidRPr="001D1852">
              <w:rPr>
                <w:rFonts w:cs="Times New Roman"/>
                <w:b/>
                <w:sz w:val="18"/>
                <w:szCs w:val="18"/>
                <w:lang w:eastAsia="cs-CZ"/>
              </w:rPr>
              <w:t>se žádostí o platbu</w:t>
            </w:r>
            <w:r w:rsidRPr="00AF0162">
              <w:rPr>
                <w:rFonts w:cs="Times New Roman"/>
                <w:sz w:val="18"/>
                <w:szCs w:val="18"/>
                <w:lang w:eastAsia="cs-CZ"/>
              </w:rPr>
              <w:t xml:space="preserve">, resp. za </w:t>
            </w:r>
            <w:r w:rsidRPr="00AF0162">
              <w:rPr>
                <w:rFonts w:cs="Times New Roman"/>
                <w:b/>
                <w:sz w:val="18"/>
                <w:szCs w:val="18"/>
                <w:lang w:eastAsia="cs-CZ"/>
              </w:rPr>
              <w:t>obě</w:t>
            </w:r>
            <w:r w:rsidRPr="00AF0162">
              <w:rPr>
                <w:rFonts w:cs="Times New Roman"/>
                <w:sz w:val="18"/>
                <w:szCs w:val="18"/>
                <w:lang w:eastAsia="cs-CZ"/>
              </w:rPr>
              <w:t xml:space="preserve"> zprávy včetně příslušných souvisejících činností</w:t>
            </w:r>
            <w:r>
              <w:rPr>
                <w:rFonts w:cs="Times New Roman"/>
                <w:sz w:val="18"/>
                <w:szCs w:val="18"/>
                <w:lang w:eastAsia="cs-CZ"/>
              </w:rPr>
              <w:t xml:space="preserve"> (předpokládá se zpracování jedné ZoR vč. příslušné ŽoP)</w:t>
            </w:r>
          </w:p>
        </w:tc>
      </w:tr>
      <w:tr w:rsidR="00123E52" w:rsidRPr="001D185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sz w:val="18"/>
                <w:szCs w:val="18"/>
                <w:lang w:eastAsia="cs-CZ"/>
              </w:rPr>
            </w:pPr>
            <w:r w:rsidRPr="00AF0162">
              <w:rPr>
                <w:rFonts w:cs="Times New Roman"/>
                <w:b/>
                <w:sz w:val="18"/>
                <w:szCs w:val="18"/>
                <w:lang w:eastAsia="cs-CZ"/>
              </w:rPr>
              <w:t>Nabídková cena v Kč</w:t>
            </w:r>
          </w:p>
        </w:tc>
        <w:tc>
          <w:tcPr>
            <w:tcW w:w="2268" w:type="dxa"/>
            <w:tcBorders>
              <w:top w:val="single" w:sz="2" w:space="0" w:color="auto"/>
            </w:tcBorders>
            <w:vAlign w:val="center"/>
          </w:tcPr>
          <w:p w:rsidR="00123E52" w:rsidRPr="001D1852" w:rsidRDefault="00123E52" w:rsidP="00282365">
            <w:pPr>
              <w:spacing w:before="60" w:after="60" w:line="240" w:lineRule="auto"/>
              <w:jc w:val="center"/>
              <w:rPr>
                <w:rFonts w:cstheme="minorBidi"/>
                <w:sz w:val="18"/>
                <w:szCs w:val="18"/>
              </w:rPr>
            </w:pPr>
            <w:r>
              <w:rPr>
                <w:b/>
                <w:sz w:val="18"/>
                <w:szCs w:val="18"/>
              </w:rPr>
              <w:t>5</w:t>
            </w:r>
            <w:r w:rsidRPr="00AF0162">
              <w:rPr>
                <w:b/>
                <w:sz w:val="18"/>
                <w:szCs w:val="18"/>
              </w:rPr>
              <w:t> 000,- Kč</w:t>
            </w:r>
            <w:r w:rsidRPr="00AF0162">
              <w:rPr>
                <w:sz w:val="18"/>
                <w:szCs w:val="18"/>
              </w:rPr>
              <w:t xml:space="preserve"> </w:t>
            </w:r>
          </w:p>
        </w:tc>
        <w:tc>
          <w:tcPr>
            <w:tcW w:w="1417" w:type="dxa"/>
            <w:tcBorders>
              <w:top w:val="single" w:sz="2" w:space="0" w:color="auto"/>
            </w:tcBorders>
            <w:vAlign w:val="center"/>
          </w:tcPr>
          <w:p w:rsidR="00123E52" w:rsidRPr="00AF0162" w:rsidRDefault="00123E52" w:rsidP="00282365">
            <w:pPr>
              <w:spacing w:before="60" w:after="60" w:line="240" w:lineRule="auto"/>
              <w:jc w:val="center"/>
              <w:rPr>
                <w:sz w:val="18"/>
                <w:szCs w:val="18"/>
              </w:rPr>
            </w:pPr>
            <w:r>
              <w:rPr>
                <w:sz w:val="18"/>
                <w:szCs w:val="18"/>
              </w:rPr>
              <w:t>1 050,- Kč</w:t>
            </w:r>
          </w:p>
        </w:tc>
        <w:tc>
          <w:tcPr>
            <w:tcW w:w="2291" w:type="dxa"/>
            <w:tcBorders>
              <w:top w:val="single" w:sz="2" w:space="0" w:color="auto"/>
              <w:right w:val="single" w:sz="8" w:space="0" w:color="auto"/>
            </w:tcBorders>
            <w:vAlign w:val="center"/>
          </w:tcPr>
          <w:p w:rsidR="00123E52" w:rsidRPr="001D1852" w:rsidRDefault="00123E52" w:rsidP="00282365">
            <w:pPr>
              <w:spacing w:before="60" w:after="60" w:line="240" w:lineRule="auto"/>
              <w:jc w:val="center"/>
              <w:rPr>
                <w:b/>
                <w:sz w:val="18"/>
                <w:szCs w:val="18"/>
              </w:rPr>
            </w:pPr>
            <w:r w:rsidRPr="001D1852">
              <w:rPr>
                <w:b/>
                <w:sz w:val="18"/>
                <w:szCs w:val="18"/>
              </w:rPr>
              <w:t xml:space="preserve">6 050,- Kč  </w:t>
            </w:r>
          </w:p>
        </w:tc>
      </w:tr>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jc w:val="both"/>
              <w:rPr>
                <w:rFonts w:cs="Times New Roman"/>
                <w:b/>
                <w:sz w:val="18"/>
                <w:szCs w:val="18"/>
                <w:lang w:eastAsia="cs-CZ"/>
              </w:rPr>
            </w:pPr>
            <w:r>
              <w:rPr>
                <w:rFonts w:cs="Times New Roman"/>
                <w:sz w:val="18"/>
                <w:szCs w:val="18"/>
                <w:lang w:eastAsia="cs-CZ"/>
              </w:rPr>
              <w:t>4</w:t>
            </w:r>
            <w:r w:rsidRPr="00AF0162">
              <w:rPr>
                <w:rFonts w:cs="Times New Roman"/>
                <w:sz w:val="18"/>
                <w:szCs w:val="18"/>
                <w:lang w:eastAsia="cs-CZ"/>
              </w:rPr>
              <w:t xml:space="preserve">) vypracování a podání každé jedné </w:t>
            </w:r>
            <w:r w:rsidRPr="00AF0162">
              <w:rPr>
                <w:rFonts w:cs="Times New Roman"/>
                <w:b/>
                <w:sz w:val="18"/>
                <w:szCs w:val="18"/>
                <w:lang w:eastAsia="cs-CZ"/>
              </w:rPr>
              <w:t>zprávy o udržitelnosti projektu,</w:t>
            </w:r>
            <w:r w:rsidRPr="00AF0162">
              <w:rPr>
                <w:rFonts w:cs="Times New Roman"/>
                <w:sz w:val="18"/>
                <w:szCs w:val="18"/>
                <w:lang w:eastAsia="cs-CZ"/>
              </w:rPr>
              <w:t xml:space="preserve"> resp. za všech pěti zpráv včetně příslušných souvisejících činností</w:t>
            </w:r>
          </w:p>
        </w:tc>
      </w:tr>
      <w:tr w:rsidR="00123E52" w:rsidRPr="00AF016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sz w:val="18"/>
                <w:szCs w:val="18"/>
                <w:lang w:eastAsia="cs-CZ"/>
              </w:rPr>
            </w:pPr>
            <w:r w:rsidRPr="00AF0162">
              <w:rPr>
                <w:rFonts w:cs="Times New Roman"/>
                <w:b/>
                <w:sz w:val="18"/>
                <w:szCs w:val="18"/>
                <w:lang w:eastAsia="cs-CZ"/>
              </w:rPr>
              <w:t>Nabídková cena v Kč</w:t>
            </w:r>
          </w:p>
        </w:tc>
        <w:tc>
          <w:tcPr>
            <w:tcW w:w="2268" w:type="dxa"/>
            <w:tcBorders>
              <w:top w:val="single" w:sz="2" w:space="0" w:color="auto"/>
            </w:tcBorders>
            <w:vAlign w:val="center"/>
          </w:tcPr>
          <w:p w:rsidR="00123E52" w:rsidRPr="00AF0162" w:rsidRDefault="00123E52" w:rsidP="00282365">
            <w:pPr>
              <w:spacing w:before="60" w:after="60" w:line="240" w:lineRule="auto"/>
              <w:jc w:val="center"/>
              <w:rPr>
                <w:rFonts w:cstheme="minorBidi"/>
                <w:sz w:val="18"/>
                <w:szCs w:val="18"/>
              </w:rPr>
            </w:pPr>
            <w:r w:rsidRPr="00AF0162">
              <w:rPr>
                <w:sz w:val="18"/>
                <w:szCs w:val="18"/>
              </w:rPr>
              <w:t xml:space="preserve">celkem za 5 MZ – </w:t>
            </w:r>
            <w:r w:rsidRPr="00AF0162">
              <w:rPr>
                <w:b/>
                <w:sz w:val="18"/>
                <w:szCs w:val="18"/>
              </w:rPr>
              <w:t>10 000,- Kč</w:t>
            </w:r>
          </w:p>
          <w:p w:rsidR="00123E52" w:rsidRPr="00AF0162" w:rsidRDefault="00123E52" w:rsidP="00282365">
            <w:pPr>
              <w:spacing w:before="60" w:after="60" w:line="240" w:lineRule="auto"/>
              <w:jc w:val="center"/>
              <w:rPr>
                <w:sz w:val="18"/>
                <w:szCs w:val="18"/>
              </w:rPr>
            </w:pPr>
            <w:r w:rsidRPr="00AF0162">
              <w:rPr>
                <w:sz w:val="18"/>
                <w:szCs w:val="18"/>
              </w:rPr>
              <w:t xml:space="preserve">(1 MZ – 2 000,- Kč) </w:t>
            </w:r>
          </w:p>
        </w:tc>
        <w:tc>
          <w:tcPr>
            <w:tcW w:w="1417" w:type="dxa"/>
            <w:tcBorders>
              <w:top w:val="single" w:sz="2" w:space="0" w:color="auto"/>
            </w:tcBorders>
            <w:vAlign w:val="center"/>
          </w:tcPr>
          <w:p w:rsidR="00123E52" w:rsidRPr="00AF0162" w:rsidRDefault="00123E52" w:rsidP="00282365">
            <w:pPr>
              <w:spacing w:before="60" w:after="60" w:line="240" w:lineRule="auto"/>
              <w:jc w:val="center"/>
              <w:rPr>
                <w:rFonts w:cstheme="minorBidi"/>
                <w:sz w:val="18"/>
                <w:szCs w:val="18"/>
              </w:rPr>
            </w:pPr>
            <w:r w:rsidRPr="00AF0162">
              <w:rPr>
                <w:sz w:val="18"/>
                <w:szCs w:val="18"/>
              </w:rPr>
              <w:t>2 100,- Kč</w:t>
            </w:r>
          </w:p>
          <w:p w:rsidR="00123E52" w:rsidRPr="00AF0162" w:rsidRDefault="00123E52" w:rsidP="00282365">
            <w:pPr>
              <w:spacing w:before="60" w:after="60" w:line="240" w:lineRule="auto"/>
              <w:jc w:val="center"/>
              <w:rPr>
                <w:sz w:val="18"/>
                <w:szCs w:val="18"/>
              </w:rPr>
            </w:pPr>
            <w:r w:rsidRPr="00AF0162">
              <w:rPr>
                <w:sz w:val="18"/>
                <w:szCs w:val="18"/>
              </w:rPr>
              <w:t>(420,- Kč)</w:t>
            </w:r>
          </w:p>
        </w:tc>
        <w:tc>
          <w:tcPr>
            <w:tcW w:w="2291" w:type="dxa"/>
            <w:tcBorders>
              <w:top w:val="single" w:sz="2" w:space="0" w:color="auto"/>
              <w:right w:val="single" w:sz="8" w:space="0" w:color="auto"/>
            </w:tcBorders>
            <w:vAlign w:val="center"/>
          </w:tcPr>
          <w:p w:rsidR="00123E52" w:rsidRPr="00AF0162" w:rsidRDefault="00123E52" w:rsidP="00282365">
            <w:pPr>
              <w:spacing w:before="60" w:after="60" w:line="240" w:lineRule="auto"/>
              <w:jc w:val="center"/>
              <w:rPr>
                <w:rFonts w:cstheme="minorBidi"/>
                <w:sz w:val="18"/>
                <w:szCs w:val="18"/>
              </w:rPr>
            </w:pPr>
            <w:r w:rsidRPr="00AF0162">
              <w:rPr>
                <w:sz w:val="18"/>
                <w:szCs w:val="18"/>
              </w:rPr>
              <w:t xml:space="preserve">celkem za 5 MZ – </w:t>
            </w:r>
            <w:r>
              <w:rPr>
                <w:b/>
                <w:sz w:val="18"/>
                <w:szCs w:val="18"/>
              </w:rPr>
              <w:t>12 1</w:t>
            </w:r>
            <w:r w:rsidRPr="00AF0162">
              <w:rPr>
                <w:b/>
                <w:sz w:val="18"/>
                <w:szCs w:val="18"/>
              </w:rPr>
              <w:t>00,- Kč</w:t>
            </w:r>
          </w:p>
          <w:p w:rsidR="00123E52" w:rsidRPr="00AF0162" w:rsidRDefault="00123E52" w:rsidP="00282365">
            <w:pPr>
              <w:spacing w:before="60" w:after="60" w:line="240" w:lineRule="auto"/>
              <w:jc w:val="center"/>
              <w:rPr>
                <w:sz w:val="18"/>
                <w:szCs w:val="18"/>
              </w:rPr>
            </w:pPr>
            <w:r>
              <w:rPr>
                <w:sz w:val="18"/>
                <w:szCs w:val="18"/>
              </w:rPr>
              <w:t>(1 MZ – 2 42</w:t>
            </w:r>
            <w:r w:rsidRPr="00AF0162">
              <w:rPr>
                <w:sz w:val="18"/>
                <w:szCs w:val="18"/>
              </w:rPr>
              <w:t xml:space="preserve">0,- Kč) </w:t>
            </w:r>
          </w:p>
        </w:tc>
      </w:tr>
      <w:tr w:rsidR="00123E52" w:rsidRPr="00AF0162" w:rsidTr="00282365">
        <w:trPr>
          <w:trHeight w:val="397"/>
          <w:jc w:val="center"/>
        </w:trPr>
        <w:tc>
          <w:tcPr>
            <w:tcW w:w="9121" w:type="dxa"/>
            <w:gridSpan w:val="4"/>
            <w:tcBorders>
              <w:top w:val="single" w:sz="2" w:space="0" w:color="auto"/>
              <w:left w:val="single" w:sz="8" w:space="0" w:color="auto"/>
              <w:right w:val="single" w:sz="8" w:space="0" w:color="auto"/>
            </w:tcBorders>
            <w:vAlign w:val="center"/>
          </w:tcPr>
          <w:p w:rsidR="00123E52" w:rsidRPr="00AF0162" w:rsidRDefault="00123E52" w:rsidP="00282365">
            <w:pPr>
              <w:spacing w:before="60" w:after="60" w:line="240" w:lineRule="auto"/>
              <w:jc w:val="both"/>
              <w:rPr>
                <w:rFonts w:cs="Times New Roman"/>
                <w:b/>
                <w:sz w:val="18"/>
                <w:szCs w:val="18"/>
                <w:lang w:eastAsia="cs-CZ"/>
              </w:rPr>
            </w:pPr>
            <w:r>
              <w:rPr>
                <w:rFonts w:cs="Times New Roman"/>
                <w:sz w:val="18"/>
                <w:szCs w:val="18"/>
                <w:lang w:eastAsia="cs-CZ"/>
              </w:rPr>
              <w:t>5</w:t>
            </w:r>
            <w:r w:rsidRPr="00AF0162">
              <w:rPr>
                <w:rFonts w:cs="Times New Roman"/>
                <w:sz w:val="18"/>
                <w:szCs w:val="18"/>
                <w:lang w:eastAsia="cs-CZ"/>
              </w:rPr>
              <w:t xml:space="preserve">) administrace </w:t>
            </w:r>
            <w:r>
              <w:rPr>
                <w:rFonts w:cs="Times New Roman"/>
                <w:sz w:val="18"/>
                <w:szCs w:val="18"/>
                <w:lang w:eastAsia="cs-CZ"/>
              </w:rPr>
              <w:t>veřejné zakázky v průběhu realizace projektu (předpokládá se realizace 1 VZ)</w:t>
            </w:r>
          </w:p>
        </w:tc>
      </w:tr>
      <w:tr w:rsidR="00123E52" w:rsidRPr="00AF0162" w:rsidTr="00282365">
        <w:trPr>
          <w:trHeight w:val="397"/>
          <w:jc w:val="center"/>
        </w:trPr>
        <w:tc>
          <w:tcPr>
            <w:tcW w:w="3145" w:type="dxa"/>
            <w:tcBorders>
              <w:top w:val="single" w:sz="2" w:space="0" w:color="auto"/>
              <w:left w:val="single" w:sz="8" w:space="0" w:color="auto"/>
            </w:tcBorders>
            <w:vAlign w:val="center"/>
          </w:tcPr>
          <w:p w:rsidR="00123E52" w:rsidRPr="00AF0162" w:rsidRDefault="00123E52" w:rsidP="00282365">
            <w:pPr>
              <w:spacing w:before="60" w:after="60" w:line="240" w:lineRule="auto"/>
              <w:rPr>
                <w:rFonts w:cs="Times New Roman"/>
                <w:sz w:val="18"/>
                <w:szCs w:val="18"/>
                <w:lang w:eastAsia="cs-CZ"/>
              </w:rPr>
            </w:pPr>
            <w:r w:rsidRPr="00AF0162">
              <w:rPr>
                <w:rFonts w:cs="Times New Roman"/>
                <w:b/>
                <w:sz w:val="18"/>
                <w:szCs w:val="18"/>
                <w:lang w:eastAsia="cs-CZ"/>
              </w:rPr>
              <w:t>Nabídková cena v Kč</w:t>
            </w:r>
          </w:p>
        </w:tc>
        <w:tc>
          <w:tcPr>
            <w:tcW w:w="2268" w:type="dxa"/>
            <w:tcBorders>
              <w:top w:val="single" w:sz="2" w:space="0" w:color="auto"/>
            </w:tcBorders>
            <w:vAlign w:val="center"/>
          </w:tcPr>
          <w:p w:rsidR="00123E52" w:rsidRPr="00AF0162" w:rsidRDefault="00123E52" w:rsidP="00282365">
            <w:pPr>
              <w:spacing w:before="60" w:after="60" w:line="240" w:lineRule="auto"/>
              <w:jc w:val="center"/>
              <w:rPr>
                <w:b/>
                <w:sz w:val="18"/>
                <w:szCs w:val="18"/>
              </w:rPr>
            </w:pPr>
            <w:r>
              <w:rPr>
                <w:b/>
                <w:sz w:val="18"/>
                <w:szCs w:val="18"/>
              </w:rPr>
              <w:t>40</w:t>
            </w:r>
            <w:r w:rsidRPr="00AF0162">
              <w:rPr>
                <w:b/>
                <w:sz w:val="18"/>
                <w:szCs w:val="18"/>
              </w:rPr>
              <w:t> 000,- Kč</w:t>
            </w:r>
          </w:p>
        </w:tc>
        <w:tc>
          <w:tcPr>
            <w:tcW w:w="1417" w:type="dxa"/>
            <w:tcBorders>
              <w:top w:val="single" w:sz="2" w:space="0" w:color="auto"/>
            </w:tcBorders>
            <w:vAlign w:val="center"/>
          </w:tcPr>
          <w:p w:rsidR="00123E52" w:rsidRPr="00AF0162" w:rsidRDefault="00123E52" w:rsidP="00282365">
            <w:pPr>
              <w:spacing w:before="60" w:after="60" w:line="240" w:lineRule="auto"/>
              <w:jc w:val="center"/>
              <w:rPr>
                <w:sz w:val="18"/>
                <w:szCs w:val="18"/>
              </w:rPr>
            </w:pPr>
            <w:r>
              <w:rPr>
                <w:sz w:val="18"/>
                <w:szCs w:val="18"/>
              </w:rPr>
              <w:t>8 400</w:t>
            </w:r>
            <w:r w:rsidRPr="00AF0162">
              <w:rPr>
                <w:sz w:val="18"/>
                <w:szCs w:val="18"/>
              </w:rPr>
              <w:t>,- Kč</w:t>
            </w:r>
          </w:p>
        </w:tc>
        <w:tc>
          <w:tcPr>
            <w:tcW w:w="2291" w:type="dxa"/>
            <w:tcBorders>
              <w:top w:val="single" w:sz="2" w:space="0" w:color="auto"/>
              <w:right w:val="single" w:sz="8" w:space="0" w:color="auto"/>
            </w:tcBorders>
            <w:vAlign w:val="center"/>
          </w:tcPr>
          <w:p w:rsidR="00123E52" w:rsidRPr="00AF0162" w:rsidRDefault="00123E52" w:rsidP="00282365">
            <w:pPr>
              <w:spacing w:before="60" w:after="60" w:line="240" w:lineRule="auto"/>
              <w:jc w:val="center"/>
              <w:rPr>
                <w:b/>
                <w:sz w:val="18"/>
                <w:szCs w:val="18"/>
              </w:rPr>
            </w:pPr>
            <w:r>
              <w:rPr>
                <w:b/>
                <w:sz w:val="18"/>
                <w:szCs w:val="18"/>
              </w:rPr>
              <w:t>48 400</w:t>
            </w:r>
            <w:r w:rsidRPr="00AF0162">
              <w:rPr>
                <w:b/>
                <w:sz w:val="18"/>
                <w:szCs w:val="18"/>
              </w:rPr>
              <w:t>,- Kč</w:t>
            </w:r>
          </w:p>
        </w:tc>
      </w:tr>
      <w:tr w:rsidR="00123E52" w:rsidRPr="00EB1B62" w:rsidTr="00282365">
        <w:tblPrEx>
          <w:tblBorders>
            <w:top w:val="single" w:sz="12" w:space="0" w:color="auto"/>
            <w:left w:val="single" w:sz="12" w:space="0" w:color="auto"/>
            <w:bottom w:val="single" w:sz="12" w:space="0" w:color="auto"/>
            <w:right w:val="single" w:sz="12" w:space="0" w:color="auto"/>
          </w:tblBorders>
        </w:tblPrEx>
        <w:trPr>
          <w:trHeight w:val="397"/>
          <w:jc w:val="center"/>
        </w:trPr>
        <w:tc>
          <w:tcPr>
            <w:tcW w:w="3145" w:type="dxa"/>
            <w:vAlign w:val="center"/>
          </w:tcPr>
          <w:p w:rsidR="00123E52" w:rsidRPr="00EB1B62" w:rsidRDefault="00123E52" w:rsidP="00282365">
            <w:pPr>
              <w:spacing w:before="60" w:after="60" w:line="240" w:lineRule="auto"/>
              <w:jc w:val="right"/>
              <w:rPr>
                <w:rFonts w:cs="Times New Roman"/>
                <w:b/>
                <w:sz w:val="18"/>
                <w:szCs w:val="18"/>
                <w:lang w:eastAsia="cs-CZ"/>
              </w:rPr>
            </w:pPr>
            <w:r w:rsidRPr="001D1852">
              <w:rPr>
                <w:rFonts w:cs="Times New Roman"/>
                <w:b/>
                <w:szCs w:val="18"/>
                <w:lang w:eastAsia="cs-CZ"/>
              </w:rPr>
              <w:t>Celková cena za plnění zakázky</w:t>
            </w:r>
          </w:p>
        </w:tc>
        <w:tc>
          <w:tcPr>
            <w:tcW w:w="2268" w:type="dxa"/>
            <w:vAlign w:val="center"/>
          </w:tcPr>
          <w:p w:rsidR="00123E52" w:rsidRDefault="00123E52" w:rsidP="00282365">
            <w:pPr>
              <w:spacing w:before="60" w:after="60" w:line="240" w:lineRule="auto"/>
              <w:jc w:val="center"/>
              <w:rPr>
                <w:b/>
              </w:rPr>
            </w:pPr>
            <w:r>
              <w:rPr>
                <w:b/>
              </w:rPr>
              <w:t>90 001,- Kč</w:t>
            </w:r>
          </w:p>
        </w:tc>
        <w:tc>
          <w:tcPr>
            <w:tcW w:w="1417" w:type="dxa"/>
            <w:vAlign w:val="center"/>
          </w:tcPr>
          <w:p w:rsidR="00123E52" w:rsidRDefault="00123E52" w:rsidP="00282365">
            <w:pPr>
              <w:spacing w:before="60" w:after="60" w:line="240" w:lineRule="auto"/>
              <w:jc w:val="center"/>
              <w:rPr>
                <w:b/>
              </w:rPr>
            </w:pPr>
            <w:r>
              <w:rPr>
                <w:b/>
              </w:rPr>
              <w:t>18 900,21- Kč</w:t>
            </w:r>
          </w:p>
        </w:tc>
        <w:tc>
          <w:tcPr>
            <w:tcW w:w="2291" w:type="dxa"/>
            <w:vAlign w:val="center"/>
          </w:tcPr>
          <w:p w:rsidR="00123E52" w:rsidRDefault="00123E52" w:rsidP="00282365">
            <w:pPr>
              <w:spacing w:before="60" w:after="60" w:line="240" w:lineRule="auto"/>
              <w:jc w:val="center"/>
              <w:rPr>
                <w:b/>
              </w:rPr>
            </w:pPr>
            <w:r>
              <w:rPr>
                <w:b/>
              </w:rPr>
              <w:t>108 901,21- Kč</w:t>
            </w:r>
          </w:p>
        </w:tc>
      </w:tr>
    </w:tbl>
    <w:p w:rsidR="00123E52" w:rsidRPr="00F33CE3" w:rsidRDefault="00123E52" w:rsidP="00123E52">
      <w:pPr>
        <w:widowControl w:val="0"/>
        <w:spacing w:before="0" w:after="0" w:line="240" w:lineRule="auto"/>
        <w:ind w:left="426"/>
        <w:jc w:val="both"/>
        <w:rPr>
          <w:rFonts w:cs="Arial"/>
          <w:b/>
          <w:lang w:eastAsia="cs-CZ"/>
        </w:rPr>
      </w:pPr>
    </w:p>
    <w:p w:rsidR="00123E52" w:rsidRPr="003C3E23" w:rsidRDefault="00123E52" w:rsidP="00123E52">
      <w:pPr>
        <w:widowControl w:val="0"/>
        <w:numPr>
          <w:ilvl w:val="0"/>
          <w:numId w:val="5"/>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0"/>
          <w:numId w:val="5"/>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0"/>
          <w:numId w:val="5"/>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0"/>
          <w:numId w:val="5"/>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1"/>
          <w:numId w:val="5"/>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0"/>
          <w:numId w:val="11"/>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0"/>
          <w:numId w:val="11"/>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0"/>
          <w:numId w:val="11"/>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0"/>
          <w:numId w:val="11"/>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0"/>
          <w:numId w:val="11"/>
        </w:numPr>
        <w:tabs>
          <w:tab w:val="left" w:pos="0"/>
          <w:tab w:val="center" w:pos="163"/>
        </w:tabs>
        <w:spacing w:before="0" w:after="60" w:line="240" w:lineRule="auto"/>
        <w:jc w:val="both"/>
        <w:rPr>
          <w:rFonts w:cs="Arial"/>
          <w:vanish/>
          <w:lang w:eastAsia="cs-CZ"/>
        </w:rPr>
      </w:pPr>
    </w:p>
    <w:p w:rsidR="00123E52" w:rsidRPr="00F33CE3" w:rsidRDefault="00123E52" w:rsidP="00123E52">
      <w:pPr>
        <w:pStyle w:val="Odstavecseseznamem"/>
        <w:widowControl w:val="0"/>
        <w:numPr>
          <w:ilvl w:val="1"/>
          <w:numId w:val="11"/>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 xml:space="preserve">Smluvní strany se dohodly, že finanční záloha nebude poskytnuta. Cena díla obsahuje veškerá plnění dle této smlouvy a další nezbytná plnění, která s vyhotovením a podáním žádosti a vyhotovením </w:t>
      </w:r>
      <w:r>
        <w:rPr>
          <w:rFonts w:cs="Arial"/>
          <w:lang w:eastAsia="cs-CZ"/>
        </w:rPr>
        <w:t xml:space="preserve">příslušných </w:t>
      </w:r>
      <w:r w:rsidRPr="003C3E23">
        <w:rPr>
          <w:rFonts w:cs="Arial"/>
          <w:lang w:eastAsia="cs-CZ"/>
        </w:rPr>
        <w:t>zpráv dle této smlouvy souvisejí.</w:t>
      </w:r>
    </w:p>
    <w:p w:rsidR="00607E04" w:rsidRPr="00F33CE3" w:rsidRDefault="00123E52" w:rsidP="00123E52">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F33CE3">
        <w:rPr>
          <w:rFonts w:cs="Times New Roman"/>
          <w:lang w:eastAsia="cs-CZ"/>
        </w:rPr>
        <w:t xml:space="preserve">Placení bude probíhat fakturací po </w:t>
      </w:r>
      <w:r>
        <w:rPr>
          <w:rFonts w:cs="Times New Roman"/>
          <w:lang w:eastAsia="cs-CZ"/>
        </w:rPr>
        <w:t xml:space="preserve">doložení, že došlo k </w:t>
      </w:r>
      <w:r w:rsidRPr="00F33CE3">
        <w:rPr>
          <w:rFonts w:cs="Times New Roman"/>
          <w:lang w:eastAsia="cs-CZ"/>
        </w:rPr>
        <w:t>předání žádosti</w:t>
      </w:r>
      <w:r>
        <w:rPr>
          <w:rFonts w:cs="Times New Roman"/>
          <w:lang w:eastAsia="cs-CZ"/>
        </w:rPr>
        <w:t>, resp. studie proveditelnosti</w:t>
      </w:r>
      <w:r w:rsidRPr="00F33CE3">
        <w:rPr>
          <w:rFonts w:cs="Times New Roman"/>
          <w:lang w:eastAsia="cs-CZ"/>
        </w:rPr>
        <w:t xml:space="preserve"> příslušnému pracovišti IROP, resp. vždy částečně po odevzdání příslušné zprávy</w:t>
      </w:r>
      <w:r>
        <w:rPr>
          <w:rFonts w:cs="Times New Roman"/>
          <w:lang w:eastAsia="cs-CZ"/>
        </w:rPr>
        <w:t xml:space="preserve"> o realizaci</w:t>
      </w:r>
      <w:r w:rsidRPr="00F33CE3">
        <w:rPr>
          <w:rFonts w:cs="Times New Roman"/>
          <w:lang w:eastAsia="cs-CZ"/>
        </w:rPr>
        <w:t xml:space="preserve"> a jejich schválení řídícím orgánem IROP.</w:t>
      </w:r>
      <w:r w:rsidRPr="00F33CE3">
        <w:rPr>
          <w:rFonts w:cs="Times New Roman"/>
          <w:sz w:val="20"/>
          <w:szCs w:val="20"/>
          <w:lang w:eastAsia="cs-CZ"/>
        </w:rPr>
        <w:t xml:space="preserve"> </w:t>
      </w:r>
      <w:r w:rsidR="00607E04" w:rsidRPr="00F33CE3">
        <w:rPr>
          <w:rFonts w:cs="Times New Roman"/>
          <w:sz w:val="20"/>
          <w:szCs w:val="20"/>
          <w:lang w:eastAsia="cs-CZ"/>
        </w:rPr>
        <w:t xml:space="preserve"> </w:t>
      </w:r>
    </w:p>
    <w:p w:rsidR="00607E04" w:rsidRPr="003C3E23"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 xml:space="preserve">Objednatel se zavazuje zaplatit dohodnutou smluvní cenu nejpozději do 28 kalendářních dnů po obdržení faktury. Za úhradu ceny za zhotovení předmětu plnění se považuje termín odepsání peněžních prostředků z účtu objednatele ve prospěch účtu zhotovitele. </w:t>
      </w:r>
    </w:p>
    <w:p w:rsidR="00607E04" w:rsidRPr="003C3E23"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Faktura musí mít všechny náležitosti daňového a účetního dokladu a obchodní listy dle platných právních předpisů. Přílohou pak musí být doklad o předání a převzetí díla potvrzený oprávněnými zástupci obou smluvních stran.</w:t>
      </w:r>
    </w:p>
    <w:p w:rsidR="00607E04" w:rsidRPr="003C3E23"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 xml:space="preserve">V případě, že faktura nebude splňovat náležitosti dle odst. 5 tohoto článku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607E04" w:rsidRPr="003C3E23"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Times New Roman"/>
          <w:lang w:eastAsia="cs-CZ"/>
        </w:rPr>
        <w:t>Změnu ceny je možno požadovat pouze pokud v průběhu realizace zakázky dojde ke změnám sazeb daně z přidané hodnoty.</w:t>
      </w:r>
    </w:p>
    <w:p w:rsidR="00607E04" w:rsidRPr="003C3E23"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 xml:space="preserve">Jestliže se zhotovitel, tj. poskytovatel zdanitelného plnění dle této smlouvy,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ceny obvyklé a že nemá v úmyslu nezaplatit daň z přidané hodnoty uvedenou na daňovém dokladu a nedostat se úmyslně do postavení, kdy nemůže daň zaplatit, ani mu takové </w:t>
      </w:r>
      <w:r w:rsidRPr="003C3E23">
        <w:rPr>
          <w:rFonts w:cs="Arial"/>
          <w:lang w:eastAsia="cs-CZ"/>
        </w:rPr>
        <w:lastRenderedPageBreak/>
        <w:t xml:space="preserve">postavení nehrozí a nedojde ke zkrácení daně, nebo vylákání daňové výhody. Objednatel je ve všech případech oprávněn využít tzv. zvláštní zajištění daně dle </w:t>
      </w:r>
      <w:proofErr w:type="spellStart"/>
      <w:r w:rsidRPr="003C3E23">
        <w:rPr>
          <w:rFonts w:cs="Arial"/>
          <w:lang w:eastAsia="cs-CZ"/>
        </w:rPr>
        <w:t>ust</w:t>
      </w:r>
      <w:proofErr w:type="spellEnd"/>
      <w:r w:rsidRPr="003C3E23">
        <w:rPr>
          <w:rFonts w:cs="Arial"/>
          <w:lang w:eastAsia="cs-CZ"/>
        </w:rPr>
        <w:t>. § 109a zákona č. 47/2011 Sb., kterým se mění zákon o DPH.</w:t>
      </w:r>
    </w:p>
    <w:p w:rsidR="00607E04" w:rsidRPr="000A58B9"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3C3E23">
        <w:rPr>
          <w:rFonts w:cs="Arial"/>
          <w:lang w:eastAsia="cs-CZ"/>
        </w:rPr>
        <w:t>Zhotovitel, tj. poskytovatel zdanitelného plnění dle této smlouvy je povinen, v případě, že se stane dle § 109, odst. 3 zákona č. 235/2004 Sb., o dani z přidané hodnoty nespolehlivým plátcem, neprodleně o této skutečnosti informovat objednatele, tj. příjemce zdanitelného plnění, a to uvedením této informace na daňových dokladech.</w:t>
      </w:r>
    </w:p>
    <w:p w:rsidR="00607E04" w:rsidRPr="007B6659" w:rsidRDefault="00607E04" w:rsidP="00607E04">
      <w:pPr>
        <w:widowControl w:val="0"/>
        <w:numPr>
          <w:ilvl w:val="1"/>
          <w:numId w:val="11"/>
        </w:numPr>
        <w:tabs>
          <w:tab w:val="left" w:pos="0"/>
          <w:tab w:val="center" w:pos="163"/>
        </w:tabs>
        <w:spacing w:before="0" w:after="60" w:line="240" w:lineRule="auto"/>
        <w:ind w:left="426" w:hanging="426"/>
        <w:jc w:val="both"/>
        <w:rPr>
          <w:rFonts w:cs="Times New Roman"/>
          <w:lang w:eastAsia="cs-CZ"/>
        </w:rPr>
      </w:pPr>
      <w:r w:rsidRPr="007B6659">
        <w:rPr>
          <w:rFonts w:cs="Arial"/>
          <w:lang w:eastAsia="cs-CZ"/>
        </w:rPr>
        <w:t>V případě, kdy projekt nebude podpořen dotací ve výzvě, ve které byl podán, nevzniká zhotoviteli nárok na zbývající část odměny za činn</w:t>
      </w:r>
      <w:r w:rsidR="0054482A">
        <w:rPr>
          <w:rFonts w:cs="Arial"/>
          <w:lang w:eastAsia="cs-CZ"/>
        </w:rPr>
        <w:t xml:space="preserve">osti uvedené v odst. </w:t>
      </w:r>
      <w:proofErr w:type="gramStart"/>
      <w:r w:rsidR="0054482A">
        <w:rPr>
          <w:rFonts w:cs="Arial"/>
          <w:lang w:eastAsia="cs-CZ"/>
        </w:rPr>
        <w:t>5.1. bodě</w:t>
      </w:r>
      <w:proofErr w:type="gramEnd"/>
      <w:r w:rsidR="0054482A">
        <w:rPr>
          <w:rFonts w:cs="Arial"/>
          <w:lang w:eastAsia="cs-CZ"/>
        </w:rPr>
        <w:t xml:space="preserve"> 3) až 5</w:t>
      </w:r>
      <w:r w:rsidRPr="007B6659">
        <w:rPr>
          <w:rFonts w:cs="Arial"/>
          <w:lang w:eastAsia="cs-CZ"/>
        </w:rPr>
        <w:t xml:space="preserve">). </w:t>
      </w:r>
    </w:p>
    <w:p w:rsidR="00607E04" w:rsidRPr="003C3E23" w:rsidRDefault="00607E04" w:rsidP="00607E04">
      <w:pPr>
        <w:widowControl w:val="0"/>
        <w:tabs>
          <w:tab w:val="left" w:pos="0"/>
          <w:tab w:val="center" w:pos="163"/>
        </w:tabs>
        <w:spacing w:before="0" w:after="0" w:line="240" w:lineRule="auto"/>
        <w:jc w:val="both"/>
        <w:rPr>
          <w:rFonts w:cs="Arial"/>
          <w:lang w:eastAsia="cs-CZ"/>
        </w:rPr>
      </w:pPr>
    </w:p>
    <w:p w:rsidR="00607E04" w:rsidRPr="003C3E23" w:rsidRDefault="00607E04" w:rsidP="00607E04">
      <w:pPr>
        <w:widowControl w:val="0"/>
        <w:spacing w:after="60" w:line="240" w:lineRule="auto"/>
        <w:ind w:left="307" w:hanging="301"/>
        <w:jc w:val="center"/>
        <w:outlineLvl w:val="0"/>
        <w:rPr>
          <w:rFonts w:cs="Arial"/>
          <w:lang w:eastAsia="cs-CZ"/>
        </w:rPr>
      </w:pPr>
      <w:bookmarkStart w:id="131" w:name="_Toc442813420"/>
      <w:bookmarkStart w:id="132" w:name="_Toc443256916"/>
      <w:bookmarkStart w:id="133" w:name="_Toc464633917"/>
      <w:bookmarkStart w:id="134" w:name="_Toc464636993"/>
      <w:bookmarkStart w:id="135" w:name="_Toc465975269"/>
      <w:r w:rsidRPr="003C3E23">
        <w:rPr>
          <w:rFonts w:cs="Arial"/>
          <w:b/>
          <w:i/>
          <w:lang w:eastAsia="cs-CZ"/>
        </w:rPr>
        <w:t>VI. Ostatní ujednání</w:t>
      </w:r>
      <w:bookmarkEnd w:id="131"/>
      <w:bookmarkEnd w:id="132"/>
      <w:bookmarkEnd w:id="133"/>
      <w:bookmarkEnd w:id="134"/>
      <w:bookmarkEnd w:id="135"/>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6"/>
        </w:numPr>
        <w:tabs>
          <w:tab w:val="left" w:pos="0"/>
          <w:tab w:val="center" w:pos="163"/>
        </w:tabs>
        <w:spacing w:before="0" w:after="60" w:line="240" w:lineRule="auto"/>
        <w:jc w:val="both"/>
        <w:rPr>
          <w:rFonts w:cs="Arial"/>
          <w:vanish/>
          <w:lang w:eastAsia="cs-CZ"/>
        </w:rPr>
      </w:pP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 xml:space="preserve">Zhotovitel se zavazuje, že vykoná pro objednatele veškeré činnosti v rozsahu a obsahu dle této smlouvy, jakož i další činnosti s předmětem smlouvy související za účelem dosažení cíle této smlouvy.  </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je povinen zajistit a financovat veškeré případné subdodavatelské práce a nese za ně záruku a odpovědnost v plném rozsahu.</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bude při zabezpečování činnosti dle předmětu smlouvy postupovat s odbornou péčí. Svoji činnost bude zhotovitel uskutečňovat v souladu se zájmy objednatele a podle pokynů, zápisů a dohod oprávněných zástupců smluvních stran.</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je povinen oznámit objednateli veškeré okolnosti a skutečnosti, které zjistí při plnění této smlouvy a které mohou mít vliv na tuto smlouvu, zejména pak na změnu pokynů objednatele. Od pokynů objednatele se může zhotovitel odchýlit, jen pokud je to naléhavé a v zájmu objednatele a zhotovitel nemůže včas obdržet jeho souhlas.</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se zavazuje zachovávat obchodní tajemství o skutečnostech, které se dozví, a důvěrné informace, v souvislosti s touto smlouvou.</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bere na vědomí, že zadavatel při realizaci smlouvy, resp. projektu musí dodržet povinnosti vyplývající ze zákona č. 320/2001 Sb., o finanční kontrole ve veřejné správě, ve znění pozdějších předpisů. Tyto povinnosti je povinen přenést i na objednatele. Zhotovitel se zavazuje poskytnout objednateli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je povinen po dobu</w:t>
      </w:r>
      <w:r>
        <w:rPr>
          <w:rFonts w:cs="Arial"/>
          <w:lang w:eastAsia="cs-CZ"/>
        </w:rPr>
        <w:t xml:space="preserve"> nejméně</w:t>
      </w:r>
      <w:r w:rsidRPr="003C3E23">
        <w:rPr>
          <w:rFonts w:cs="Arial"/>
          <w:lang w:eastAsia="cs-CZ"/>
        </w:rPr>
        <w:t xml:space="preserve"> </w:t>
      </w:r>
      <w:r>
        <w:rPr>
          <w:rFonts w:cs="Arial"/>
          <w:lang w:eastAsia="cs-CZ"/>
        </w:rPr>
        <w:t>patnácti</w:t>
      </w:r>
      <w:r w:rsidRPr="003C3E23">
        <w:rPr>
          <w:rFonts w:cs="Arial"/>
          <w:lang w:eastAsia="cs-CZ"/>
        </w:rPr>
        <w:t xml:space="preserve"> let od ukončení realizace projektu uchovávat originál smlouvy, včetně jejích případných dodatků, veškeré originály účetních a dalších dokumentů souvisejících s realizací veřejné zakázky a poskytovat požadované informace a dokumentaci za účelem ověřování plnění Podmínek usnesení/Smlouvy o financování zaměstnancům pověřených orgánů: Ministerstva životního prostředí,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je povinen umožnit pověřeným osobám kontrolu a ověření plnění Smlouvy o dílo po dobu trvání rea</w:t>
      </w:r>
      <w:r>
        <w:rPr>
          <w:rFonts w:cs="Arial"/>
          <w:lang w:eastAsia="cs-CZ"/>
        </w:rPr>
        <w:t>lizace projektu a dále po dobu 10</w:t>
      </w:r>
      <w:r w:rsidRPr="003C3E23">
        <w:rPr>
          <w:rFonts w:cs="Arial"/>
          <w:lang w:eastAsia="cs-CZ"/>
        </w:rPr>
        <w:t xml:space="preserve"> let po ukončení realizace projektu.</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V případě, že dojde ze strany zhotovitele k prodlení s předáním dokončeného díla, je objednatel oprávněn vystavit fakturu na smluvní pokutu a pozastavit peněžní plnění respektive proplácení faktury do doby sankčního vypořádání pohledávky.</w:t>
      </w:r>
    </w:p>
    <w:p w:rsidR="00123E52" w:rsidRPr="00304D79"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04D79">
        <w:rPr>
          <w:rFonts w:cs="Arial"/>
          <w:lang w:eastAsia="cs-CZ"/>
        </w:rPr>
        <w:t xml:space="preserve">Pro případ prodlení zhotovitele podáním žádosti o dotaci na příslušné pracoviště IROP (a tudíž nezískání dotace) jednak nevzniká zhotoviteli nárok na zaplacení ceny díla a jednak vzniká objednateli nárok na smluvní pokutu ve výši </w:t>
      </w:r>
      <w:r>
        <w:rPr>
          <w:rFonts w:cs="Arial"/>
          <w:lang w:eastAsia="cs-CZ"/>
        </w:rPr>
        <w:t>5</w:t>
      </w:r>
      <w:r w:rsidRPr="00304D79">
        <w:rPr>
          <w:rFonts w:cs="Arial"/>
          <w:lang w:eastAsia="cs-CZ"/>
        </w:rPr>
        <w:t>0% z celkové ceny díla (bez DPH).</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Pro případ prodlení zhotovitele s provedením ostatních činností (částí díla, zejména např. zpráv</w:t>
      </w:r>
      <w:r>
        <w:rPr>
          <w:rFonts w:cs="Arial"/>
          <w:lang w:eastAsia="cs-CZ"/>
        </w:rPr>
        <w:t xml:space="preserve"> o </w:t>
      </w:r>
      <w:r>
        <w:rPr>
          <w:rFonts w:cs="Arial"/>
          <w:lang w:eastAsia="cs-CZ"/>
        </w:rPr>
        <w:lastRenderedPageBreak/>
        <w:t>realizaci, žádostí o platbu</w:t>
      </w:r>
      <w:r w:rsidRPr="003C3E23">
        <w:rPr>
          <w:rFonts w:cs="Arial"/>
          <w:lang w:eastAsia="cs-CZ"/>
        </w:rPr>
        <w:t>, apod.) se smluvní strany dohodly na smluvní pokutě ve výši 0,5 % z celkové sjednané ceny díla bez DPH za každý započatý den prodlení. Přesáhne-li doba prodlení 30 dnů, zvyšuje se pokuta ode dne následujícího na 1 % z celkové ceny díla bez DPH za každý další den prodlení.</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Dojde-li ze strany objednatele k prodlení při úhradě faktury, je objednatel povinen zaplatit zhotoviteli úrok z prodlení ve výši podle příslušného právního předpisu upravujícího úroky z prodlení. Toto ustanovení se však nevztahuje na proplacení takových faktur, u kterých bude z důvodů uvedených v tomto článku pozastaveno peněžní plnění resp. jejich proplácení.</w:t>
      </w:r>
    </w:p>
    <w:p w:rsidR="00123E52"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Splatnost vyúčtovaných smluvních pokut se sjednává na 20 dnů ode dne doručení vyúčtování smluvních pokut.</w:t>
      </w:r>
    </w:p>
    <w:p w:rsidR="00607E04" w:rsidRPr="003C3E23" w:rsidRDefault="00123E52" w:rsidP="00123E52">
      <w:pPr>
        <w:widowControl w:val="0"/>
        <w:numPr>
          <w:ilvl w:val="1"/>
          <w:numId w:val="6"/>
        </w:numPr>
        <w:tabs>
          <w:tab w:val="left" w:pos="0"/>
          <w:tab w:val="center" w:pos="163"/>
        </w:tabs>
        <w:spacing w:before="0" w:after="60" w:line="240" w:lineRule="auto"/>
        <w:ind w:left="426" w:hanging="426"/>
        <w:jc w:val="both"/>
        <w:rPr>
          <w:rFonts w:cs="Arial"/>
          <w:lang w:eastAsia="cs-CZ"/>
        </w:rPr>
      </w:pPr>
      <w:r w:rsidRPr="003C3E23">
        <w:rPr>
          <w:rFonts w:cs="Arial"/>
          <w:lang w:eastAsia="cs-CZ"/>
        </w:rPr>
        <w:t>Zaplacením smluvní</w:t>
      </w:r>
      <w:r>
        <w:rPr>
          <w:rFonts w:cs="Arial"/>
          <w:lang w:eastAsia="cs-CZ"/>
        </w:rPr>
        <w:t>ch</w:t>
      </w:r>
      <w:r w:rsidRPr="003C3E23">
        <w:rPr>
          <w:rFonts w:cs="Arial"/>
          <w:lang w:eastAsia="cs-CZ"/>
        </w:rPr>
        <w:t xml:space="preserve"> pokut nezaniká povinnost smluvní strany závazek splnit a právo oprávněné smluvní strany požadovat i náhradu vzniklých škod v plné výši.</w:t>
      </w:r>
    </w:p>
    <w:p w:rsidR="00607E04" w:rsidRPr="003C3E23" w:rsidRDefault="00607E04" w:rsidP="00607E04">
      <w:pPr>
        <w:widowControl w:val="0"/>
        <w:spacing w:before="360" w:after="60" w:line="240" w:lineRule="auto"/>
        <w:ind w:left="289" w:hanging="289"/>
        <w:jc w:val="center"/>
        <w:outlineLvl w:val="0"/>
        <w:rPr>
          <w:rFonts w:cs="Arial"/>
          <w:b/>
          <w:i/>
          <w:lang w:eastAsia="cs-CZ"/>
        </w:rPr>
      </w:pPr>
      <w:bookmarkStart w:id="136" w:name="_Toc442813421"/>
      <w:bookmarkStart w:id="137" w:name="_Toc443256917"/>
      <w:bookmarkStart w:id="138" w:name="_Toc464633918"/>
      <w:bookmarkStart w:id="139" w:name="_Toc464636994"/>
      <w:bookmarkStart w:id="140" w:name="_Toc465975270"/>
      <w:r w:rsidRPr="003C3E23">
        <w:rPr>
          <w:rFonts w:cs="Arial"/>
          <w:b/>
          <w:i/>
          <w:lang w:eastAsia="cs-CZ"/>
        </w:rPr>
        <w:t>VII. Odpovědnost za vady</w:t>
      </w:r>
      <w:bookmarkEnd w:id="136"/>
      <w:bookmarkEnd w:id="137"/>
      <w:bookmarkEnd w:id="138"/>
      <w:bookmarkEnd w:id="139"/>
      <w:bookmarkEnd w:id="140"/>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0"/>
          <w:numId w:val="7"/>
        </w:numPr>
        <w:tabs>
          <w:tab w:val="left" w:pos="0"/>
          <w:tab w:val="center" w:pos="163"/>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 w:line="240" w:lineRule="auto"/>
        <w:jc w:val="both"/>
        <w:rPr>
          <w:rFonts w:cs="Arial"/>
          <w:vanish/>
          <w:lang w:eastAsia="cs-CZ"/>
        </w:rPr>
      </w:pPr>
    </w:p>
    <w:p w:rsidR="00607E04" w:rsidRPr="003C3E23"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 xml:space="preserve">Zhotovitel se zavazuje provést dílo v kvalitě odpovídající účelu, resp. cíli smlouvy, platným normám a právním předpisům. </w:t>
      </w:r>
    </w:p>
    <w:p w:rsidR="00607E04" w:rsidRPr="003C3E23" w:rsidRDefault="00123E52"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 xml:space="preserve">Zhotovitel odpovídá za vady předané žádosti, resp. </w:t>
      </w:r>
      <w:r>
        <w:rPr>
          <w:rFonts w:cs="Arial"/>
          <w:lang w:eastAsia="cs-CZ"/>
        </w:rPr>
        <w:t>příslušných zpráv, resp. žádostí o platbu</w:t>
      </w:r>
      <w:r w:rsidRPr="003C3E23">
        <w:rPr>
          <w:rFonts w:cs="Arial"/>
          <w:lang w:eastAsia="cs-CZ"/>
        </w:rPr>
        <w:t>. Dále zhotovitel odpovídá za to, že žádost bude kompletní ve smyslu této smlouvy, že splňuje určenou funkci a odpovídá požadavkům sjednaným v této smlouvě.</w:t>
      </w:r>
    </w:p>
    <w:p w:rsidR="00607E04" w:rsidRPr="003C3E23"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odpovídá za vady díla, resp. poskytnutých odborných výkonů. Ustanovení § 2112 odst. 1 občanského zákoníku věta druhá se nepoužije.</w:t>
      </w:r>
    </w:p>
    <w:p w:rsidR="00607E04" w:rsidRPr="003C3E23"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Případnou reklamaci vady plnění předmětu této smlouvy je objednatel povinen uplatnit bez zbytečného odkladu poté, co se o ní dozvěděl, a to písemnou formou s uvedením požadovaného termínu odstranění reklamace. Zhotovitel je povinen reklamovanou vadu v požadovaném termínu odstranit. Pokud tak neučiní je objednateli povinen uhradit smluvní pokutu ve výši 1.000 Kč za každý den prodlení.</w:t>
      </w:r>
    </w:p>
    <w:p w:rsidR="00607E04" w:rsidRPr="003C3E23"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rsidR="00607E04" w:rsidRPr="003C3E23"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3C3E23">
        <w:rPr>
          <w:rFonts w:cs="Arial"/>
          <w:lang w:eastAsia="cs-CZ"/>
        </w:rPr>
        <w:t>Zhotovitel se tímto zavazuje, že dílo, resp. předmět díla (tj. výsledek díla) podle této smlouvy nebude mít v době jeho předání objednateli žádné patentové ani jiné právní nedostatky. Zhotovitel se rovněž zavazuje, že po dobu provádění díla neporuší jakákoli 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 v důsledku porušení autorských, patentových, nebo jiných práv třetích osob při provádění díla.</w:t>
      </w:r>
    </w:p>
    <w:p w:rsidR="00607E04" w:rsidRPr="007C3C9C" w:rsidRDefault="00607E04" w:rsidP="00607E04">
      <w:pPr>
        <w:widowControl w:val="0"/>
        <w:numPr>
          <w:ilvl w:val="1"/>
          <w:numId w:val="7"/>
        </w:numPr>
        <w:tabs>
          <w:tab w:val="left" w:pos="0"/>
          <w:tab w:val="center" w:pos="163"/>
        </w:tabs>
        <w:spacing w:before="0" w:after="60" w:line="240" w:lineRule="auto"/>
        <w:ind w:left="426" w:hanging="426"/>
        <w:jc w:val="both"/>
        <w:rPr>
          <w:rFonts w:cs="Arial"/>
          <w:lang w:eastAsia="cs-CZ"/>
        </w:rPr>
      </w:pPr>
      <w:r w:rsidRPr="007C3C9C">
        <w:rPr>
          <w:rFonts w:cs="Arial"/>
          <w:lang w:eastAsia="cs-CZ"/>
        </w:rPr>
        <w:t xml:space="preserve">Zhotovitel čestně prohlašuje, že v době podepsání této smlouvy o dílo má platnou pojistnou smlouvu profesní odpovědnosti za škodu č. </w:t>
      </w:r>
      <w:r w:rsidR="007C3C9C" w:rsidRPr="007C3C9C">
        <w:rPr>
          <w:rFonts w:cs="Arial"/>
          <w:lang w:eastAsia="cs-CZ"/>
        </w:rPr>
        <w:t xml:space="preserve">39729759-11 </w:t>
      </w:r>
      <w:r w:rsidRPr="007C3C9C">
        <w:rPr>
          <w:rFonts w:cs="Arial"/>
          <w:lang w:eastAsia="cs-CZ"/>
        </w:rPr>
        <w:t xml:space="preserve">u společnosti </w:t>
      </w:r>
      <w:r w:rsidR="007C3C9C" w:rsidRPr="007C3C9C">
        <w:rPr>
          <w:lang w:eastAsia="cs-CZ"/>
        </w:rPr>
        <w:t>Česká pojišťovna, a.s.</w:t>
      </w:r>
      <w:r w:rsidRPr="007C3C9C">
        <w:rPr>
          <w:rFonts w:cs="Arial"/>
          <w:i/>
          <w:lang w:eastAsia="cs-CZ"/>
        </w:rPr>
        <w:t xml:space="preserve">, </w:t>
      </w:r>
      <w:r w:rsidRPr="007C3C9C">
        <w:rPr>
          <w:rFonts w:cs="Arial"/>
          <w:lang w:eastAsia="cs-CZ"/>
        </w:rPr>
        <w:t>která je přílohou č. 1 této smlouvy. Uvedená pojistná smlouva je uzavřena na paušální pojistnou částku</w:t>
      </w:r>
      <w:r w:rsidR="007C3C9C" w:rsidRPr="007C3C9C">
        <w:rPr>
          <w:rFonts w:cs="Arial"/>
          <w:lang w:eastAsia="cs-CZ"/>
        </w:rPr>
        <w:t xml:space="preserve"> </w:t>
      </w:r>
      <w:r w:rsidR="007C3C9C" w:rsidRPr="007C3C9C">
        <w:rPr>
          <w:lang w:eastAsia="cs-CZ"/>
        </w:rPr>
        <w:t>15 000 000,- Kč</w:t>
      </w:r>
      <w:r w:rsidR="007C3C9C" w:rsidRPr="007C3C9C">
        <w:rPr>
          <w:i/>
          <w:iCs/>
          <w:lang w:eastAsia="cs-CZ"/>
        </w:rPr>
        <w:t xml:space="preserve"> </w:t>
      </w:r>
      <w:r w:rsidR="007C3C9C" w:rsidRPr="007C3C9C">
        <w:rPr>
          <w:lang w:eastAsia="cs-CZ"/>
        </w:rPr>
        <w:t>(Patnáct milionů korun)</w:t>
      </w:r>
      <w:r w:rsidRPr="007C3C9C">
        <w:rPr>
          <w:rFonts w:cs="Arial"/>
          <w:lang w:eastAsia="cs-CZ"/>
        </w:rPr>
        <w:t>. Zhotovitel čestně prohlašuje, že bude pojištěn po celou dobu trvání záruky</w:t>
      </w:r>
      <w:r w:rsidR="0054482A">
        <w:rPr>
          <w:rFonts w:cs="Arial"/>
          <w:lang w:eastAsia="cs-CZ"/>
        </w:rPr>
        <w:t>.</w:t>
      </w:r>
    </w:p>
    <w:p w:rsidR="00607E04" w:rsidRPr="003C3E23" w:rsidRDefault="00607E04" w:rsidP="00607E04">
      <w:pPr>
        <w:widowControl w:val="0"/>
        <w:spacing w:before="360" w:after="60" w:line="240" w:lineRule="auto"/>
        <w:jc w:val="center"/>
        <w:outlineLvl w:val="0"/>
        <w:rPr>
          <w:rFonts w:cs="Arial"/>
          <w:b/>
          <w:i/>
          <w:lang w:eastAsia="cs-CZ"/>
        </w:rPr>
      </w:pPr>
      <w:bookmarkStart w:id="141" w:name="_Toc442813422"/>
      <w:bookmarkStart w:id="142" w:name="_Toc443256918"/>
      <w:bookmarkStart w:id="143" w:name="_Toc464633919"/>
      <w:bookmarkStart w:id="144" w:name="_Toc464636995"/>
      <w:bookmarkStart w:id="145" w:name="_Toc465975271"/>
      <w:r w:rsidRPr="003C3E23">
        <w:rPr>
          <w:rFonts w:cs="Arial"/>
          <w:b/>
          <w:i/>
          <w:lang w:eastAsia="cs-CZ"/>
        </w:rPr>
        <w:t>VIII. Změny závazku</w:t>
      </w:r>
      <w:bookmarkEnd w:id="141"/>
      <w:bookmarkEnd w:id="142"/>
      <w:bookmarkEnd w:id="143"/>
      <w:bookmarkEnd w:id="144"/>
      <w:bookmarkEnd w:id="145"/>
    </w:p>
    <w:p w:rsidR="00607E04" w:rsidRPr="003C3E23" w:rsidRDefault="00607E04" w:rsidP="00607E04">
      <w:pPr>
        <w:widowControl w:val="0"/>
        <w:spacing w:before="0" w:after="0" w:line="240" w:lineRule="auto"/>
        <w:ind w:left="426"/>
        <w:jc w:val="both"/>
        <w:rPr>
          <w:rFonts w:cs="Arial"/>
          <w:lang w:eastAsia="cs-CZ"/>
        </w:rPr>
      </w:pPr>
      <w:r w:rsidRPr="003C3E23">
        <w:rPr>
          <w:rFonts w:cs="Arial"/>
          <w:lang w:eastAsia="cs-CZ"/>
        </w:rPr>
        <w:t>Strany se dohodly, že změny ve výchozích podkladech a dohodnutých podmínkách nebo nové požadavky objednatele budou vždy řešeny písemným dodatkem k této smlouvě.</w:t>
      </w:r>
    </w:p>
    <w:p w:rsidR="00607E04" w:rsidRPr="003C3E23" w:rsidRDefault="00607E04" w:rsidP="00607E04">
      <w:pPr>
        <w:widowControl w:val="0"/>
        <w:spacing w:before="360" w:after="60" w:line="240" w:lineRule="auto"/>
        <w:jc w:val="center"/>
        <w:outlineLvl w:val="0"/>
        <w:rPr>
          <w:rFonts w:cs="Arial"/>
          <w:b/>
          <w:i/>
          <w:lang w:eastAsia="cs-CZ"/>
        </w:rPr>
      </w:pPr>
      <w:bookmarkStart w:id="146" w:name="_Toc442813423"/>
      <w:bookmarkStart w:id="147" w:name="_Toc443256919"/>
      <w:bookmarkStart w:id="148" w:name="_Toc464633920"/>
      <w:bookmarkStart w:id="149" w:name="_Toc464636996"/>
      <w:bookmarkStart w:id="150" w:name="_Toc465975272"/>
      <w:r w:rsidRPr="003C3E23">
        <w:rPr>
          <w:rFonts w:cs="Arial"/>
          <w:b/>
          <w:i/>
          <w:lang w:eastAsia="cs-CZ"/>
        </w:rPr>
        <w:t>IX. Všeobecná ustanovení</w:t>
      </w:r>
      <w:bookmarkEnd w:id="146"/>
      <w:bookmarkEnd w:id="147"/>
      <w:bookmarkEnd w:id="148"/>
      <w:bookmarkEnd w:id="149"/>
      <w:bookmarkEnd w:id="150"/>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0"/>
          <w:numId w:val="8"/>
        </w:numPr>
        <w:tabs>
          <w:tab w:val="left" w:pos="0"/>
          <w:tab w:val="center" w:pos="163"/>
        </w:tabs>
        <w:spacing w:before="0" w:after="60" w:line="240" w:lineRule="auto"/>
        <w:jc w:val="both"/>
        <w:rPr>
          <w:rFonts w:cs="Arial"/>
          <w:vanish/>
          <w:lang w:eastAsia="cs-CZ"/>
        </w:rPr>
      </w:pPr>
    </w:p>
    <w:p w:rsidR="00607E04" w:rsidRPr="003C3E23" w:rsidRDefault="00607E04" w:rsidP="00607E04">
      <w:pPr>
        <w:widowControl w:val="0"/>
        <w:numPr>
          <w:ilvl w:val="1"/>
          <w:numId w:val="8"/>
        </w:numPr>
        <w:tabs>
          <w:tab w:val="left" w:pos="0"/>
          <w:tab w:val="center" w:pos="163"/>
        </w:tabs>
        <w:spacing w:before="0" w:after="60" w:line="240" w:lineRule="auto"/>
        <w:jc w:val="both"/>
        <w:rPr>
          <w:rFonts w:cs="Arial"/>
          <w:lang w:eastAsia="cs-CZ"/>
        </w:rPr>
      </w:pPr>
      <w:r w:rsidRPr="003C3E23">
        <w:rPr>
          <w:rFonts w:cs="Arial"/>
          <w:lang w:eastAsia="cs-CZ"/>
        </w:rPr>
        <w:t>Pokud není v této smlouvě stanoveno jinak, závazkový vztah se řídí příslušnými ustanoveními zákona č. 89/2012 Sb., občanský zákoník a obvyklými obchodními zvyklostmi.</w:t>
      </w:r>
    </w:p>
    <w:p w:rsidR="00607E04" w:rsidRPr="003C3E23" w:rsidRDefault="00123E52"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Pr>
          <w:rFonts w:cs="Arial"/>
          <w:lang w:eastAsia="cs-CZ"/>
        </w:rPr>
        <w:t>Tato smlouva se vyhotovuje ve 2</w:t>
      </w:r>
      <w:r w:rsidRPr="003C3E23">
        <w:rPr>
          <w:rFonts w:cs="Arial"/>
          <w:lang w:eastAsia="cs-CZ"/>
        </w:rPr>
        <w:t xml:space="preserve"> vyhotoveních, z nichž obě smluvní strany obdrží po </w:t>
      </w:r>
      <w:r>
        <w:rPr>
          <w:rFonts w:cs="Arial"/>
          <w:lang w:eastAsia="cs-CZ"/>
        </w:rPr>
        <w:t>1 vyhotovení</w:t>
      </w:r>
      <w:r w:rsidRPr="003C3E23">
        <w:rPr>
          <w:rFonts w:cs="Arial"/>
          <w:lang w:eastAsia="cs-CZ"/>
        </w:rPr>
        <w:t>.</w:t>
      </w:r>
    </w:p>
    <w:p w:rsidR="00607E04" w:rsidRPr="003C3E23" w:rsidRDefault="00607E04"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sidRPr="003C3E23">
        <w:rPr>
          <w:rFonts w:cs="Arial"/>
          <w:lang w:eastAsia="cs-CZ"/>
        </w:rPr>
        <w:lastRenderedPageBreak/>
        <w:t>Měnit nebo doplňovat tuto smlouvu lze jen formou písemných dodatků podepsaných oprávněnými zástupci obou smluvních stran</w:t>
      </w:r>
      <w:r>
        <w:rPr>
          <w:rFonts w:cs="Arial"/>
          <w:lang w:eastAsia="cs-CZ"/>
        </w:rPr>
        <w:t>; to platí i pro změnu ujednání stran v tomto odstavci</w:t>
      </w:r>
      <w:r w:rsidRPr="003C3E23">
        <w:rPr>
          <w:rFonts w:cs="Arial"/>
          <w:lang w:eastAsia="cs-CZ"/>
        </w:rPr>
        <w:t>.</w:t>
      </w:r>
    </w:p>
    <w:p w:rsidR="00607E04" w:rsidRPr="003C3E23" w:rsidRDefault="00607E04"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sidRPr="003C3E23">
        <w:rPr>
          <w:rFonts w:cs="Arial"/>
          <w:lang w:eastAsia="cs-CZ"/>
        </w:rPr>
        <w:t>Objednatel a zhotovitel souhlasí s uzavřením této smlouvy za podmínek shora uvedených.</w:t>
      </w:r>
    </w:p>
    <w:p w:rsidR="00607E04" w:rsidRPr="003C3E23" w:rsidRDefault="00607E04"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sidRPr="003C3E23">
        <w:rPr>
          <w:rFonts w:cs="Arial"/>
          <w:lang w:eastAsia="cs-CZ"/>
        </w:rPr>
        <w:t>Obě strany mají právo od smlouvy odstoupit v případech uvedených v této smlouvě anebo v případě podstatného porušení této smlouvy, a to písemnou formou. Odstoupení je účinné následující den po doručení. Odstoupení od smlouvy musí být prokazatelně doručeno druhé straně. Přípustné je i elektronické doručení se zaručeným elektronickým podpisem.</w:t>
      </w:r>
    </w:p>
    <w:p w:rsidR="00607E04" w:rsidRPr="007B6659" w:rsidRDefault="00607E04"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sidRPr="007B6659">
        <w:rPr>
          <w:rFonts w:cs="Arial"/>
          <w:lang w:eastAsia="cs-CZ"/>
        </w:rPr>
        <w:t>Tato smlouva nabývá platnosti a účinnosti dnem jejího podpisu oprávněnými zástupci obou smluvních stran a jejím uveřejněním podle zákona č. 340/2015 Sb., o registru smluv v platném znění.</w:t>
      </w:r>
    </w:p>
    <w:p w:rsidR="00607E04" w:rsidRPr="003C3E23" w:rsidRDefault="00607E04" w:rsidP="00607E04">
      <w:pPr>
        <w:widowControl w:val="0"/>
        <w:numPr>
          <w:ilvl w:val="1"/>
          <w:numId w:val="8"/>
        </w:numPr>
        <w:tabs>
          <w:tab w:val="left" w:pos="0"/>
          <w:tab w:val="center" w:pos="163"/>
        </w:tabs>
        <w:spacing w:before="0" w:after="60" w:line="240" w:lineRule="auto"/>
        <w:ind w:left="567" w:hanging="567"/>
        <w:jc w:val="both"/>
        <w:rPr>
          <w:rFonts w:cs="Arial"/>
          <w:lang w:eastAsia="cs-CZ"/>
        </w:rPr>
      </w:pPr>
      <w:r w:rsidRPr="003C3E23">
        <w:rPr>
          <w:rFonts w:cs="Arial"/>
          <w:lang w:eastAsia="cs-CZ"/>
        </w:rPr>
        <w:t xml:space="preserve">Vzhledem k veřejnoprávnímu charakteru objednatele souhlasí zhotovitel se zveřejněním obsahu smluvního ujednání této smlouvy dle zákona č. 106/1999 Sb., o svobodném přístupu k  informacím, ve znění pozdějších předpisů a zákona č. 101/2000 Sb., o ochraně osobních údajů a o změně některých zákonů, ve znění pozdějších předpisů. Smluvní strany souhlasně prohlašují, že žádný údaj v této smlouvě není označován za obchodní tajemství. </w:t>
      </w:r>
    </w:p>
    <w:p w:rsidR="00123E52" w:rsidRDefault="00123E52" w:rsidP="00607E04">
      <w:pPr>
        <w:widowControl w:val="0"/>
        <w:spacing w:before="0" w:after="0" w:line="240" w:lineRule="auto"/>
        <w:jc w:val="both"/>
        <w:outlineLvl w:val="0"/>
        <w:rPr>
          <w:rFonts w:cs="Arial"/>
          <w:lang w:eastAsia="cs-CZ"/>
        </w:rPr>
      </w:pPr>
      <w:bookmarkStart w:id="151" w:name="_Toc442813424"/>
      <w:bookmarkStart w:id="152" w:name="_Toc443256920"/>
      <w:bookmarkStart w:id="153" w:name="_Toc464633921"/>
      <w:bookmarkStart w:id="154" w:name="_Toc464636997"/>
      <w:bookmarkStart w:id="155" w:name="_Toc465975273"/>
    </w:p>
    <w:p w:rsidR="00310548" w:rsidRDefault="00310548" w:rsidP="00607E04">
      <w:pPr>
        <w:widowControl w:val="0"/>
        <w:spacing w:before="0" w:after="0" w:line="240" w:lineRule="auto"/>
        <w:jc w:val="both"/>
        <w:outlineLvl w:val="0"/>
        <w:rPr>
          <w:rFonts w:cs="Arial"/>
          <w:lang w:eastAsia="cs-CZ"/>
        </w:rPr>
      </w:pPr>
    </w:p>
    <w:p w:rsidR="00607E04" w:rsidRPr="003C3E23" w:rsidRDefault="00607E04" w:rsidP="00607E04">
      <w:pPr>
        <w:widowControl w:val="0"/>
        <w:spacing w:before="0" w:after="0" w:line="240" w:lineRule="auto"/>
        <w:jc w:val="both"/>
        <w:outlineLvl w:val="0"/>
        <w:rPr>
          <w:rFonts w:cs="Arial"/>
          <w:lang w:eastAsia="cs-CZ"/>
        </w:rPr>
      </w:pPr>
      <w:r w:rsidRPr="003C3E23">
        <w:rPr>
          <w:rFonts w:cs="Arial"/>
          <w:lang w:eastAsia="cs-CZ"/>
        </w:rPr>
        <w:t>Na důkaz toho připojují podpisy svých oprávněných zástupců.</w:t>
      </w:r>
      <w:bookmarkEnd w:id="151"/>
      <w:bookmarkEnd w:id="152"/>
      <w:bookmarkEnd w:id="153"/>
      <w:bookmarkEnd w:id="154"/>
      <w:bookmarkEnd w:id="155"/>
    </w:p>
    <w:p w:rsidR="00607E04" w:rsidRPr="003C3E23" w:rsidRDefault="00607E04" w:rsidP="00607E04">
      <w:pPr>
        <w:widowControl w:val="0"/>
        <w:spacing w:before="0" w:after="0" w:line="240" w:lineRule="auto"/>
        <w:jc w:val="both"/>
        <w:rPr>
          <w:rFonts w:cs="Arial"/>
          <w:lang w:eastAsia="cs-CZ"/>
        </w:rPr>
      </w:pPr>
    </w:p>
    <w:p w:rsidR="00607E04" w:rsidRDefault="00607E04" w:rsidP="00607E04">
      <w:pPr>
        <w:widowControl w:val="0"/>
        <w:spacing w:before="0" w:after="0" w:line="240" w:lineRule="auto"/>
        <w:jc w:val="both"/>
        <w:rPr>
          <w:rFonts w:cs="Arial"/>
          <w:lang w:eastAsia="cs-CZ"/>
        </w:rPr>
      </w:pPr>
    </w:p>
    <w:p w:rsidR="00123E52" w:rsidRPr="003C3E23" w:rsidRDefault="00123E52" w:rsidP="00607E04">
      <w:pPr>
        <w:widowControl w:val="0"/>
        <w:spacing w:before="0" w:after="0" w:line="240" w:lineRule="auto"/>
        <w:jc w:val="both"/>
        <w:rPr>
          <w:rFonts w:cs="Arial"/>
          <w:lang w:eastAsia="cs-CZ"/>
        </w:rPr>
      </w:pPr>
    </w:p>
    <w:p w:rsidR="00607E04" w:rsidRPr="003C3E23" w:rsidRDefault="00607E04" w:rsidP="00607E04">
      <w:pPr>
        <w:widowControl w:val="0"/>
        <w:spacing w:before="0" w:after="0" w:line="240" w:lineRule="auto"/>
        <w:jc w:val="both"/>
        <w:rPr>
          <w:rFonts w:cs="Arial"/>
          <w:lang w:eastAsia="cs-CZ"/>
        </w:rPr>
      </w:pPr>
      <w:r w:rsidRPr="003C3E23">
        <w:rPr>
          <w:rFonts w:cs="Arial"/>
          <w:lang w:eastAsia="cs-CZ"/>
        </w:rPr>
        <w:t>V Kadani, dne: …</w:t>
      </w:r>
      <w:r w:rsidR="002C72D3">
        <w:rPr>
          <w:rFonts w:cs="Arial"/>
          <w:lang w:eastAsia="cs-CZ"/>
        </w:rPr>
        <w:t>24.5.2018…….</w:t>
      </w:r>
      <w:r w:rsidRPr="003C3E23">
        <w:rPr>
          <w:rFonts w:cs="Arial"/>
          <w:lang w:eastAsia="cs-CZ"/>
        </w:rPr>
        <w:tab/>
      </w:r>
      <w:r w:rsidRPr="003C3E23">
        <w:rPr>
          <w:rFonts w:cs="Arial"/>
          <w:lang w:eastAsia="cs-CZ"/>
        </w:rPr>
        <w:tab/>
      </w:r>
      <w:r>
        <w:rPr>
          <w:rFonts w:cs="Arial"/>
          <w:lang w:eastAsia="cs-CZ"/>
        </w:rPr>
        <w:tab/>
      </w:r>
      <w:r>
        <w:rPr>
          <w:rFonts w:cs="Arial"/>
          <w:lang w:eastAsia="cs-CZ"/>
        </w:rPr>
        <w:tab/>
      </w:r>
      <w:r w:rsidRPr="003C3E23">
        <w:rPr>
          <w:rFonts w:cs="Arial"/>
          <w:lang w:eastAsia="cs-CZ"/>
        </w:rPr>
        <w:t>V </w:t>
      </w:r>
      <w:r w:rsidR="0072185A">
        <w:rPr>
          <w:rFonts w:cs="Arial"/>
          <w:lang w:eastAsia="cs-CZ"/>
        </w:rPr>
        <w:t>Mostě</w:t>
      </w:r>
      <w:r>
        <w:rPr>
          <w:rFonts w:cs="Arial"/>
          <w:lang w:eastAsia="cs-CZ"/>
        </w:rPr>
        <w:t xml:space="preserve">, dne: </w:t>
      </w:r>
      <w:r w:rsidR="0072185A" w:rsidRPr="003C3E23">
        <w:rPr>
          <w:rFonts w:cs="Arial"/>
          <w:lang w:eastAsia="cs-CZ"/>
        </w:rPr>
        <w:t>…</w:t>
      </w:r>
      <w:r w:rsidR="002C72D3">
        <w:rPr>
          <w:rFonts w:cs="Arial"/>
          <w:lang w:eastAsia="cs-CZ"/>
        </w:rPr>
        <w:t>24.5.2018……</w:t>
      </w:r>
    </w:p>
    <w:p w:rsidR="00607E04" w:rsidRPr="003C3E23" w:rsidRDefault="00607E04" w:rsidP="00607E04">
      <w:pPr>
        <w:widowControl w:val="0"/>
        <w:spacing w:before="0" w:after="0" w:line="240" w:lineRule="auto"/>
        <w:jc w:val="both"/>
        <w:rPr>
          <w:rFonts w:cs="Arial"/>
          <w:lang w:eastAsia="cs-CZ"/>
        </w:rPr>
      </w:pPr>
    </w:p>
    <w:p w:rsidR="00607E04" w:rsidRDefault="00607E04" w:rsidP="00607E04">
      <w:pPr>
        <w:widowControl w:val="0"/>
        <w:spacing w:before="0" w:after="0" w:line="240" w:lineRule="auto"/>
        <w:jc w:val="both"/>
        <w:rPr>
          <w:rFonts w:cs="Arial"/>
          <w:lang w:eastAsia="cs-CZ"/>
        </w:rPr>
      </w:pPr>
    </w:p>
    <w:p w:rsidR="0072185A" w:rsidRDefault="0072185A" w:rsidP="00607E04">
      <w:pPr>
        <w:widowControl w:val="0"/>
        <w:spacing w:before="0" w:after="0" w:line="240" w:lineRule="auto"/>
        <w:jc w:val="both"/>
        <w:rPr>
          <w:rFonts w:cs="Arial"/>
          <w:lang w:eastAsia="cs-CZ"/>
        </w:rPr>
      </w:pPr>
    </w:p>
    <w:p w:rsidR="00123E52" w:rsidRDefault="00123E52" w:rsidP="00607E04">
      <w:pPr>
        <w:widowControl w:val="0"/>
        <w:spacing w:before="0" w:after="0" w:line="240" w:lineRule="auto"/>
        <w:jc w:val="both"/>
        <w:rPr>
          <w:rFonts w:cs="Arial"/>
          <w:lang w:eastAsia="cs-CZ"/>
        </w:rPr>
      </w:pPr>
    </w:p>
    <w:p w:rsidR="0072185A" w:rsidRPr="003C3E23" w:rsidRDefault="0072185A" w:rsidP="00607E04">
      <w:pPr>
        <w:widowControl w:val="0"/>
        <w:spacing w:before="0" w:after="0" w:line="240" w:lineRule="auto"/>
        <w:jc w:val="both"/>
        <w:rPr>
          <w:rFonts w:cs="Arial"/>
          <w:lang w:eastAsia="cs-CZ"/>
        </w:rPr>
      </w:pPr>
    </w:p>
    <w:p w:rsidR="00607E04" w:rsidRPr="003C3E23" w:rsidRDefault="00607E04" w:rsidP="00607E04">
      <w:pPr>
        <w:widowControl w:val="0"/>
        <w:spacing w:before="0" w:after="0" w:line="240" w:lineRule="auto"/>
        <w:ind w:left="720" w:hanging="720"/>
        <w:jc w:val="both"/>
        <w:rPr>
          <w:rFonts w:cs="Arial"/>
          <w:lang w:eastAsia="cs-CZ"/>
        </w:rPr>
      </w:pPr>
      <w:r w:rsidRPr="003C3E23">
        <w:rPr>
          <w:rFonts w:cs="Arial"/>
          <w:lang w:eastAsia="cs-CZ"/>
        </w:rPr>
        <w:t>………………………………</w:t>
      </w:r>
      <w:r>
        <w:rPr>
          <w:rFonts w:cs="Arial"/>
          <w:lang w:eastAsia="cs-CZ"/>
        </w:rPr>
        <w:t>………………………….</w:t>
      </w:r>
      <w:r>
        <w:rPr>
          <w:rFonts w:cs="Arial"/>
          <w:lang w:eastAsia="cs-CZ"/>
        </w:rPr>
        <w:tab/>
      </w:r>
      <w:r>
        <w:rPr>
          <w:rFonts w:cs="Arial"/>
          <w:lang w:eastAsia="cs-CZ"/>
        </w:rPr>
        <w:tab/>
      </w:r>
      <w:r w:rsidRPr="003C3E23">
        <w:rPr>
          <w:rFonts w:cs="Arial"/>
          <w:lang w:eastAsia="cs-CZ"/>
        </w:rPr>
        <w:t>……………………………</w:t>
      </w:r>
      <w:r w:rsidR="006C5A5E">
        <w:rPr>
          <w:rFonts w:cs="Arial"/>
          <w:lang w:eastAsia="cs-CZ"/>
        </w:rPr>
        <w:t>………</w:t>
      </w:r>
    </w:p>
    <w:p w:rsidR="00821988" w:rsidRPr="00821988" w:rsidRDefault="00821988" w:rsidP="00821988">
      <w:pPr>
        <w:widowControl w:val="0"/>
        <w:spacing w:before="0" w:after="0" w:line="240" w:lineRule="auto"/>
        <w:ind w:left="720" w:hanging="720"/>
        <w:jc w:val="both"/>
        <w:rPr>
          <w:rFonts w:cs="Arial"/>
          <w:b/>
          <w:bCs/>
          <w:sz w:val="20"/>
          <w:lang w:eastAsia="cs-CZ"/>
        </w:rPr>
      </w:pPr>
      <w:r w:rsidRPr="00821988">
        <w:rPr>
          <w:rFonts w:cs="Arial"/>
          <w:b/>
          <w:bCs/>
          <w:sz w:val="20"/>
          <w:lang w:eastAsia="cs-CZ"/>
        </w:rPr>
        <w:t xml:space="preserve">Základní škola Rudolfa </w:t>
      </w:r>
      <w:proofErr w:type="spellStart"/>
      <w:r w:rsidRPr="00821988">
        <w:rPr>
          <w:rFonts w:cs="Arial"/>
          <w:b/>
          <w:bCs/>
          <w:sz w:val="20"/>
          <w:lang w:eastAsia="cs-CZ"/>
        </w:rPr>
        <w:t>Koblice</w:t>
      </w:r>
      <w:proofErr w:type="spellEnd"/>
      <w:r w:rsidRPr="00821988">
        <w:rPr>
          <w:rFonts w:cs="Arial"/>
          <w:b/>
          <w:bCs/>
          <w:sz w:val="20"/>
          <w:lang w:eastAsia="cs-CZ"/>
        </w:rPr>
        <w:t>, Pionýrů 1102, Kadaň</w:t>
      </w:r>
      <w:r w:rsidR="004B04BC">
        <w:rPr>
          <w:rFonts w:cs="Arial"/>
          <w:b/>
          <w:bCs/>
          <w:sz w:val="20"/>
          <w:lang w:eastAsia="cs-CZ"/>
        </w:rPr>
        <w:tab/>
      </w:r>
      <w:r w:rsidR="004B04BC">
        <w:rPr>
          <w:rFonts w:cs="Arial"/>
          <w:b/>
          <w:bCs/>
          <w:sz w:val="20"/>
          <w:lang w:eastAsia="cs-CZ"/>
        </w:rPr>
        <w:tab/>
        <w:t>Sociálně-právní institut, s.r.o.</w:t>
      </w:r>
    </w:p>
    <w:p w:rsidR="00FE4640" w:rsidRPr="00AF0162" w:rsidRDefault="00821988" w:rsidP="00821988">
      <w:pPr>
        <w:widowControl w:val="0"/>
        <w:spacing w:before="0" w:after="0" w:line="240" w:lineRule="auto"/>
        <w:ind w:left="720" w:hanging="720"/>
        <w:jc w:val="both"/>
        <w:rPr>
          <w:rFonts w:cs="Times New Roman"/>
          <w:sz w:val="20"/>
          <w:lang w:eastAsia="cs-CZ"/>
        </w:rPr>
      </w:pPr>
      <w:r w:rsidRPr="00821988">
        <w:rPr>
          <w:rFonts w:cs="Arial"/>
          <w:b/>
          <w:bCs/>
          <w:sz w:val="20"/>
          <w:lang w:eastAsia="cs-CZ"/>
        </w:rPr>
        <w:t>Mgr. Stanislav Hakl, ředitel</w:t>
      </w:r>
      <w:r w:rsidR="004B04BC">
        <w:rPr>
          <w:rFonts w:cs="Arial"/>
          <w:b/>
          <w:bCs/>
          <w:sz w:val="20"/>
          <w:lang w:eastAsia="cs-CZ"/>
        </w:rPr>
        <w:tab/>
      </w:r>
      <w:r w:rsidR="004B04BC">
        <w:rPr>
          <w:rFonts w:cs="Arial"/>
          <w:b/>
          <w:bCs/>
          <w:sz w:val="20"/>
          <w:lang w:eastAsia="cs-CZ"/>
        </w:rPr>
        <w:tab/>
      </w:r>
      <w:r w:rsidR="004B04BC">
        <w:rPr>
          <w:rFonts w:cs="Arial"/>
          <w:b/>
          <w:bCs/>
          <w:sz w:val="20"/>
          <w:lang w:eastAsia="cs-CZ"/>
        </w:rPr>
        <w:tab/>
      </w:r>
      <w:r w:rsidR="004B04BC">
        <w:rPr>
          <w:rFonts w:cs="Arial"/>
          <w:b/>
          <w:bCs/>
          <w:sz w:val="20"/>
          <w:lang w:eastAsia="cs-CZ"/>
        </w:rPr>
        <w:tab/>
      </w:r>
      <w:r w:rsidR="004B04BC">
        <w:rPr>
          <w:rFonts w:cs="Arial"/>
          <w:b/>
          <w:bCs/>
          <w:sz w:val="20"/>
          <w:lang w:eastAsia="cs-CZ"/>
        </w:rPr>
        <w:tab/>
        <w:t>Ing. Tomáš Kočí, jednatel</w:t>
      </w:r>
    </w:p>
    <w:sectPr w:rsidR="00FE4640" w:rsidRPr="00AF0162" w:rsidSect="004278B4">
      <w:footerReference w:type="default" r:id="rId9"/>
      <w:headerReference w:type="first" r:id="rId10"/>
      <w:pgSz w:w="11906" w:h="16838" w:code="9"/>
      <w:pgMar w:top="1418" w:right="1418"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40" w:rsidRDefault="00DF0D40">
      <w:pPr>
        <w:spacing w:before="0" w:after="0" w:line="240" w:lineRule="auto"/>
      </w:pPr>
      <w:r>
        <w:separator/>
      </w:r>
    </w:p>
  </w:endnote>
  <w:endnote w:type="continuationSeparator" w:id="0">
    <w:p w:rsidR="00DF0D40" w:rsidRDefault="00DF0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7E" w:rsidRPr="00821988" w:rsidRDefault="00821988" w:rsidP="00077603">
    <w:pPr>
      <w:pBdr>
        <w:top w:val="single" w:sz="4" w:space="1" w:color="auto"/>
      </w:pBdr>
      <w:tabs>
        <w:tab w:val="center" w:pos="4536"/>
        <w:tab w:val="right" w:pos="9072"/>
      </w:tabs>
      <w:spacing w:before="0" w:after="0" w:line="240" w:lineRule="auto"/>
      <w:jc w:val="center"/>
      <w:rPr>
        <w:rFonts w:cs="Times New Roman"/>
        <w:b/>
        <w:sz w:val="16"/>
        <w:szCs w:val="16"/>
        <w:lang w:eastAsia="cs-CZ"/>
      </w:rPr>
    </w:pPr>
    <w:r w:rsidRPr="00821988">
      <w:rPr>
        <w:rFonts w:cs="Times New Roman"/>
        <w:b/>
        <w:sz w:val="16"/>
        <w:szCs w:val="16"/>
        <w:lang w:eastAsia="cs-CZ"/>
      </w:rPr>
      <w:t>Smlouva o dílo</w:t>
    </w:r>
  </w:p>
  <w:p w:rsidR="008F207E" w:rsidRPr="005F5B43" w:rsidRDefault="004B78D6" w:rsidP="00077603">
    <w:pPr>
      <w:spacing w:before="0" w:after="0" w:line="240" w:lineRule="auto"/>
      <w:jc w:val="center"/>
      <w:rPr>
        <w:rFonts w:cs="Garamond"/>
        <w:bCs/>
        <w:sz w:val="16"/>
        <w:szCs w:val="16"/>
        <w:lang w:eastAsia="cs-CZ"/>
      </w:rPr>
    </w:pPr>
    <w:r w:rsidRPr="004B78D6">
      <w:rPr>
        <w:rFonts w:cs="Garamond"/>
        <w:sz w:val="16"/>
        <w:szCs w:val="16"/>
        <w:lang w:eastAsia="cs-CZ"/>
      </w:rPr>
      <w:t xml:space="preserve">Zadavatel: </w:t>
    </w:r>
    <w:r w:rsidRPr="004B78D6">
      <w:rPr>
        <w:rFonts w:cs="Garamond"/>
        <w:b/>
        <w:bCs/>
        <w:sz w:val="16"/>
        <w:szCs w:val="16"/>
        <w:lang w:eastAsia="cs-CZ"/>
      </w:rPr>
      <w:t xml:space="preserve">Základní škola Rudolfa </w:t>
    </w:r>
    <w:proofErr w:type="spellStart"/>
    <w:r w:rsidRPr="004B78D6">
      <w:rPr>
        <w:rFonts w:cs="Garamond"/>
        <w:b/>
        <w:bCs/>
        <w:sz w:val="16"/>
        <w:szCs w:val="16"/>
        <w:lang w:eastAsia="cs-CZ"/>
      </w:rPr>
      <w:t>Koblice</w:t>
    </w:r>
    <w:proofErr w:type="spellEnd"/>
    <w:r w:rsidRPr="004B78D6">
      <w:rPr>
        <w:rFonts w:cs="Garamond"/>
        <w:b/>
        <w:bCs/>
        <w:sz w:val="16"/>
        <w:szCs w:val="16"/>
        <w:lang w:eastAsia="cs-CZ"/>
      </w:rPr>
      <w:t>, Pionýrů 1102, Kadaň</w:t>
    </w:r>
  </w:p>
  <w:p w:rsidR="008F207E" w:rsidRPr="00B97179" w:rsidRDefault="00607E04" w:rsidP="00B97179">
    <w:pPr>
      <w:spacing w:before="0" w:after="0" w:line="240" w:lineRule="auto"/>
      <w:ind w:right="-2"/>
      <w:jc w:val="center"/>
      <w:rPr>
        <w:b/>
        <w:sz w:val="16"/>
      </w:rPr>
    </w:pPr>
    <w:r w:rsidRPr="005D7743">
      <w:rPr>
        <w:rFonts w:cs="Garamond"/>
        <w:sz w:val="16"/>
        <w:szCs w:val="16"/>
        <w:lang w:eastAsia="cs-CZ"/>
      </w:rPr>
      <w:t xml:space="preserve">Název: </w:t>
    </w:r>
    <w:r w:rsidRPr="00B97179">
      <w:rPr>
        <w:b/>
        <w:sz w:val="16"/>
      </w:rPr>
      <w:t>Zpracování žádosti o dotaci včetně administrace projektu</w:t>
    </w:r>
  </w:p>
  <w:p w:rsidR="008F207E" w:rsidRPr="00B97179" w:rsidRDefault="00607E04" w:rsidP="00B97179">
    <w:pPr>
      <w:tabs>
        <w:tab w:val="center" w:pos="4536"/>
        <w:tab w:val="right" w:pos="9072"/>
      </w:tabs>
      <w:spacing w:before="0" w:after="0" w:line="240" w:lineRule="auto"/>
      <w:jc w:val="center"/>
      <w:rPr>
        <w:rFonts w:cs="Times New Roman"/>
        <w:bCs/>
        <w:sz w:val="16"/>
        <w:szCs w:val="16"/>
        <w:lang w:eastAsia="cs-CZ"/>
      </w:rPr>
    </w:pPr>
    <w:r w:rsidRPr="005F5B43">
      <w:rPr>
        <w:rFonts w:cs="Times New Roman"/>
        <w:bCs/>
        <w:sz w:val="16"/>
        <w:szCs w:val="16"/>
        <w:lang w:eastAsia="cs-CZ"/>
      </w:rPr>
      <w:t xml:space="preserve">Stránka </w:t>
    </w:r>
    <w:r w:rsidRPr="005F5B43">
      <w:rPr>
        <w:rFonts w:cs="Times New Roman"/>
        <w:bCs/>
        <w:sz w:val="16"/>
        <w:szCs w:val="16"/>
        <w:lang w:eastAsia="cs-CZ"/>
      </w:rPr>
      <w:fldChar w:fldCharType="begin"/>
    </w:r>
    <w:r w:rsidRPr="005F5B43">
      <w:rPr>
        <w:rFonts w:cs="Times New Roman"/>
        <w:bCs/>
        <w:sz w:val="16"/>
        <w:szCs w:val="16"/>
        <w:lang w:eastAsia="cs-CZ"/>
      </w:rPr>
      <w:instrText xml:space="preserve"> PAGE </w:instrText>
    </w:r>
    <w:r w:rsidRPr="005F5B43">
      <w:rPr>
        <w:rFonts w:cs="Times New Roman"/>
        <w:bCs/>
        <w:sz w:val="16"/>
        <w:szCs w:val="16"/>
        <w:lang w:eastAsia="cs-CZ"/>
      </w:rPr>
      <w:fldChar w:fldCharType="separate"/>
    </w:r>
    <w:r w:rsidR="00A90F98">
      <w:rPr>
        <w:rFonts w:cs="Times New Roman"/>
        <w:bCs/>
        <w:noProof/>
        <w:sz w:val="16"/>
        <w:szCs w:val="16"/>
        <w:lang w:eastAsia="cs-CZ"/>
      </w:rPr>
      <w:t>6</w:t>
    </w:r>
    <w:r w:rsidRPr="005F5B43">
      <w:rPr>
        <w:rFonts w:cs="Times New Roman"/>
        <w:bCs/>
        <w:sz w:val="16"/>
        <w:szCs w:val="16"/>
        <w:lang w:eastAsia="cs-CZ"/>
      </w:rPr>
      <w:fldChar w:fldCharType="end"/>
    </w:r>
    <w:r w:rsidRPr="005F5B43">
      <w:rPr>
        <w:rFonts w:cs="Times New Roman"/>
        <w:bCs/>
        <w:sz w:val="16"/>
        <w:szCs w:val="16"/>
        <w:lang w:eastAsia="cs-CZ"/>
      </w:rPr>
      <w:t xml:space="preserve"> z </w:t>
    </w:r>
    <w:r w:rsidRPr="005F5B43">
      <w:rPr>
        <w:rFonts w:cs="Times New Roman"/>
        <w:bCs/>
        <w:sz w:val="16"/>
        <w:szCs w:val="16"/>
        <w:lang w:eastAsia="cs-CZ"/>
      </w:rPr>
      <w:fldChar w:fldCharType="begin"/>
    </w:r>
    <w:r w:rsidRPr="005F5B43">
      <w:rPr>
        <w:rFonts w:cs="Times New Roman"/>
        <w:bCs/>
        <w:sz w:val="16"/>
        <w:szCs w:val="16"/>
        <w:lang w:eastAsia="cs-CZ"/>
      </w:rPr>
      <w:instrText xml:space="preserve"> NUMPAGES  </w:instrText>
    </w:r>
    <w:r w:rsidRPr="005F5B43">
      <w:rPr>
        <w:rFonts w:cs="Times New Roman"/>
        <w:bCs/>
        <w:sz w:val="16"/>
        <w:szCs w:val="16"/>
        <w:lang w:eastAsia="cs-CZ"/>
      </w:rPr>
      <w:fldChar w:fldCharType="separate"/>
    </w:r>
    <w:r w:rsidR="00A90F98">
      <w:rPr>
        <w:rFonts w:cs="Times New Roman"/>
        <w:bCs/>
        <w:noProof/>
        <w:sz w:val="16"/>
        <w:szCs w:val="16"/>
        <w:lang w:eastAsia="cs-CZ"/>
      </w:rPr>
      <w:t>6</w:t>
    </w:r>
    <w:r w:rsidRPr="005F5B43">
      <w:rPr>
        <w:rFonts w:cs="Times New Roman"/>
        <w:bCs/>
        <w:sz w:val="16"/>
        <w:szCs w:val="16"/>
        <w:lang w:eastAsia="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40" w:rsidRDefault="00DF0D40">
      <w:pPr>
        <w:spacing w:before="0" w:after="0" w:line="240" w:lineRule="auto"/>
      </w:pPr>
      <w:r>
        <w:separator/>
      </w:r>
    </w:p>
  </w:footnote>
  <w:footnote w:type="continuationSeparator" w:id="0">
    <w:p w:rsidR="00DF0D40" w:rsidRDefault="00DF0D4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7E" w:rsidRDefault="00607E04">
    <w:pPr>
      <w:pStyle w:val="Zhlav"/>
    </w:pPr>
    <w:r>
      <w:rPr>
        <w:noProof/>
        <w:lang w:eastAsia="cs-CZ"/>
      </w:rPr>
      <w:drawing>
        <wp:inline distT="0" distB="0" distL="0" distR="0" wp14:anchorId="6331D311" wp14:editId="097B2632">
          <wp:extent cx="5676900" cy="904875"/>
          <wp:effectExtent l="0" t="0" r="0" b="952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C7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36A004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0C54F92"/>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28062CC9"/>
    <w:multiLevelType w:val="multilevel"/>
    <w:tmpl w:val="805E03E0"/>
    <w:lvl w:ilvl="0">
      <w:start w:val="1"/>
      <w:numFmt w:val="decimal"/>
      <w:lvlText w:val="%1."/>
      <w:lvlJc w:val="left"/>
      <w:pPr>
        <w:ind w:left="360" w:hanging="360"/>
      </w:pPr>
      <w:rPr>
        <w:rFonts w:cs="Times New Roman"/>
      </w:rPr>
    </w:lvl>
    <w:lvl w:ilvl="1">
      <w:start w:val="1"/>
      <w:numFmt w:val="decimal"/>
      <w:pStyle w:val="Podtitul"/>
      <w:lvlText w:val="%1.%2."/>
      <w:lvlJc w:val="left"/>
      <w:pPr>
        <w:ind w:left="792" w:hanging="432"/>
      </w:pPr>
      <w:rPr>
        <w:rFonts w:cs="Times New Roman"/>
      </w:rPr>
    </w:lvl>
    <w:lvl w:ilvl="2">
      <w:start w:val="1"/>
      <w:numFmt w:val="decimal"/>
      <w:pStyle w:val="Odstavecseseznamem1"/>
      <w:lvlText w:val="%1.%2.%3."/>
      <w:lvlJc w:val="left"/>
      <w:pPr>
        <w:ind w:left="1044" w:hanging="504"/>
      </w:pPr>
      <w:rPr>
        <w:rFonts w:cs="Times New Roman"/>
        <w:b w:val="0"/>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38E11B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71C7B6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86D5C4D"/>
    <w:multiLevelType w:val="multilevel"/>
    <w:tmpl w:val="7528DD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52C64B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593344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C4F7B9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3CD01A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9D31684"/>
    <w:multiLevelType w:val="hybridMultilevel"/>
    <w:tmpl w:val="F84634B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3"/>
  </w:num>
  <w:num w:numId="2">
    <w:abstractNumId w:val="6"/>
  </w:num>
  <w:num w:numId="3">
    <w:abstractNumId w:val="1"/>
  </w:num>
  <w:num w:numId="4">
    <w:abstractNumId w:val="9"/>
  </w:num>
  <w:num w:numId="5">
    <w:abstractNumId w:val="7"/>
  </w:num>
  <w:num w:numId="6">
    <w:abstractNumId w:val="5"/>
  </w:num>
  <w:num w:numId="7">
    <w:abstractNumId w:val="10"/>
  </w:num>
  <w:num w:numId="8">
    <w:abstractNumId w:val="2"/>
  </w:num>
  <w:num w:numId="9">
    <w:abstractNumId w:val="4"/>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04"/>
    <w:rsid w:val="0000679F"/>
    <w:rsid w:val="000170B7"/>
    <w:rsid w:val="00021703"/>
    <w:rsid w:val="00027547"/>
    <w:rsid w:val="00037C70"/>
    <w:rsid w:val="00040ED4"/>
    <w:rsid w:val="00041E93"/>
    <w:rsid w:val="00045F59"/>
    <w:rsid w:val="00051EA5"/>
    <w:rsid w:val="00054DB6"/>
    <w:rsid w:val="000C46F8"/>
    <w:rsid w:val="000D599B"/>
    <w:rsid w:val="000E3E99"/>
    <w:rsid w:val="000F1A3D"/>
    <w:rsid w:val="000F1D22"/>
    <w:rsid w:val="00123E52"/>
    <w:rsid w:val="00135B52"/>
    <w:rsid w:val="0014334A"/>
    <w:rsid w:val="0015272C"/>
    <w:rsid w:val="00153872"/>
    <w:rsid w:val="001649F8"/>
    <w:rsid w:val="00190D66"/>
    <w:rsid w:val="001B13A0"/>
    <w:rsid w:val="001B2589"/>
    <w:rsid w:val="001C7141"/>
    <w:rsid w:val="001E6F7E"/>
    <w:rsid w:val="00205822"/>
    <w:rsid w:val="00215065"/>
    <w:rsid w:val="00230177"/>
    <w:rsid w:val="00237BAF"/>
    <w:rsid w:val="002935E3"/>
    <w:rsid w:val="002A2754"/>
    <w:rsid w:val="002A39A4"/>
    <w:rsid w:val="002B3781"/>
    <w:rsid w:val="002B6EA6"/>
    <w:rsid w:val="002C72D3"/>
    <w:rsid w:val="002D6E6A"/>
    <w:rsid w:val="002F2652"/>
    <w:rsid w:val="00300E78"/>
    <w:rsid w:val="00303FFC"/>
    <w:rsid w:val="003040D5"/>
    <w:rsid w:val="0031028D"/>
    <w:rsid w:val="00310548"/>
    <w:rsid w:val="00317862"/>
    <w:rsid w:val="00322E07"/>
    <w:rsid w:val="0032459C"/>
    <w:rsid w:val="00343C6E"/>
    <w:rsid w:val="0034531D"/>
    <w:rsid w:val="00354583"/>
    <w:rsid w:val="003679BE"/>
    <w:rsid w:val="0038029D"/>
    <w:rsid w:val="003826F6"/>
    <w:rsid w:val="00387521"/>
    <w:rsid w:val="00390C08"/>
    <w:rsid w:val="00391187"/>
    <w:rsid w:val="003D3B8E"/>
    <w:rsid w:val="0041452F"/>
    <w:rsid w:val="004179A4"/>
    <w:rsid w:val="004236B7"/>
    <w:rsid w:val="00434A75"/>
    <w:rsid w:val="004550F7"/>
    <w:rsid w:val="00457F05"/>
    <w:rsid w:val="004624A0"/>
    <w:rsid w:val="00486832"/>
    <w:rsid w:val="004B04BC"/>
    <w:rsid w:val="004B1AA1"/>
    <w:rsid w:val="004B3326"/>
    <w:rsid w:val="004B3C25"/>
    <w:rsid w:val="004B78D6"/>
    <w:rsid w:val="004C11B8"/>
    <w:rsid w:val="004C6EF3"/>
    <w:rsid w:val="004E016F"/>
    <w:rsid w:val="004E37DC"/>
    <w:rsid w:val="00500DFC"/>
    <w:rsid w:val="005029EB"/>
    <w:rsid w:val="00525AD2"/>
    <w:rsid w:val="0053297F"/>
    <w:rsid w:val="0054482A"/>
    <w:rsid w:val="00552795"/>
    <w:rsid w:val="00570D4C"/>
    <w:rsid w:val="00595149"/>
    <w:rsid w:val="005979C1"/>
    <w:rsid w:val="005A0BD6"/>
    <w:rsid w:val="005C13B2"/>
    <w:rsid w:val="005C6600"/>
    <w:rsid w:val="005C6FFD"/>
    <w:rsid w:val="00606E36"/>
    <w:rsid w:val="00607E04"/>
    <w:rsid w:val="00615A75"/>
    <w:rsid w:val="006412C6"/>
    <w:rsid w:val="006419E9"/>
    <w:rsid w:val="00662BBC"/>
    <w:rsid w:val="00673E34"/>
    <w:rsid w:val="00687870"/>
    <w:rsid w:val="00696F79"/>
    <w:rsid w:val="006A262C"/>
    <w:rsid w:val="006A3E9B"/>
    <w:rsid w:val="006A7DD5"/>
    <w:rsid w:val="006B22B8"/>
    <w:rsid w:val="006C5A5E"/>
    <w:rsid w:val="006D724B"/>
    <w:rsid w:val="00703F7F"/>
    <w:rsid w:val="00711B13"/>
    <w:rsid w:val="00715994"/>
    <w:rsid w:val="0072185A"/>
    <w:rsid w:val="00724336"/>
    <w:rsid w:val="00734CE7"/>
    <w:rsid w:val="00744661"/>
    <w:rsid w:val="00744691"/>
    <w:rsid w:val="007468BF"/>
    <w:rsid w:val="00751647"/>
    <w:rsid w:val="007573DD"/>
    <w:rsid w:val="00757825"/>
    <w:rsid w:val="00761C84"/>
    <w:rsid w:val="00785C86"/>
    <w:rsid w:val="00793434"/>
    <w:rsid w:val="007A28F7"/>
    <w:rsid w:val="007C3C9C"/>
    <w:rsid w:val="007F4D0F"/>
    <w:rsid w:val="00800EF8"/>
    <w:rsid w:val="00811447"/>
    <w:rsid w:val="008131AE"/>
    <w:rsid w:val="00821988"/>
    <w:rsid w:val="008224C2"/>
    <w:rsid w:val="00824B66"/>
    <w:rsid w:val="00827E31"/>
    <w:rsid w:val="0083329A"/>
    <w:rsid w:val="00843EF4"/>
    <w:rsid w:val="00852B70"/>
    <w:rsid w:val="00866196"/>
    <w:rsid w:val="00897A5B"/>
    <w:rsid w:val="008D5317"/>
    <w:rsid w:val="008E1376"/>
    <w:rsid w:val="00906A44"/>
    <w:rsid w:val="009138F4"/>
    <w:rsid w:val="009428C6"/>
    <w:rsid w:val="00973AFD"/>
    <w:rsid w:val="009852A1"/>
    <w:rsid w:val="009A379A"/>
    <w:rsid w:val="009B475A"/>
    <w:rsid w:val="009E340C"/>
    <w:rsid w:val="00A051E4"/>
    <w:rsid w:val="00A27515"/>
    <w:rsid w:val="00A465C5"/>
    <w:rsid w:val="00A51573"/>
    <w:rsid w:val="00A54A95"/>
    <w:rsid w:val="00A55582"/>
    <w:rsid w:val="00A87106"/>
    <w:rsid w:val="00A90F98"/>
    <w:rsid w:val="00AB6388"/>
    <w:rsid w:val="00AE4613"/>
    <w:rsid w:val="00AE789C"/>
    <w:rsid w:val="00AF0162"/>
    <w:rsid w:val="00AF5B51"/>
    <w:rsid w:val="00B01CDB"/>
    <w:rsid w:val="00B22AC0"/>
    <w:rsid w:val="00B36593"/>
    <w:rsid w:val="00B44F92"/>
    <w:rsid w:val="00B5375E"/>
    <w:rsid w:val="00B60DCE"/>
    <w:rsid w:val="00B6746E"/>
    <w:rsid w:val="00BB2C9A"/>
    <w:rsid w:val="00BB6F27"/>
    <w:rsid w:val="00BC0328"/>
    <w:rsid w:val="00BC1D73"/>
    <w:rsid w:val="00BD6205"/>
    <w:rsid w:val="00BE3EDE"/>
    <w:rsid w:val="00BF6A9B"/>
    <w:rsid w:val="00BF6AE4"/>
    <w:rsid w:val="00C02F16"/>
    <w:rsid w:val="00C1205E"/>
    <w:rsid w:val="00C13EA5"/>
    <w:rsid w:val="00C225D6"/>
    <w:rsid w:val="00C430B6"/>
    <w:rsid w:val="00C43FCA"/>
    <w:rsid w:val="00C4694A"/>
    <w:rsid w:val="00C6022E"/>
    <w:rsid w:val="00C61045"/>
    <w:rsid w:val="00C669D3"/>
    <w:rsid w:val="00C96D06"/>
    <w:rsid w:val="00CA344D"/>
    <w:rsid w:val="00CA6003"/>
    <w:rsid w:val="00CA6EC6"/>
    <w:rsid w:val="00CA6FFB"/>
    <w:rsid w:val="00CB0C5E"/>
    <w:rsid w:val="00CC6A6F"/>
    <w:rsid w:val="00CC725E"/>
    <w:rsid w:val="00CD7459"/>
    <w:rsid w:val="00CE5E77"/>
    <w:rsid w:val="00D23AE8"/>
    <w:rsid w:val="00D37B4D"/>
    <w:rsid w:val="00D40BF4"/>
    <w:rsid w:val="00D80094"/>
    <w:rsid w:val="00D8021B"/>
    <w:rsid w:val="00D84332"/>
    <w:rsid w:val="00DA4A35"/>
    <w:rsid w:val="00DA743E"/>
    <w:rsid w:val="00DB3641"/>
    <w:rsid w:val="00DC3C04"/>
    <w:rsid w:val="00DD4919"/>
    <w:rsid w:val="00DF0D40"/>
    <w:rsid w:val="00DF61A7"/>
    <w:rsid w:val="00E010F2"/>
    <w:rsid w:val="00E027AE"/>
    <w:rsid w:val="00E0417C"/>
    <w:rsid w:val="00E343C2"/>
    <w:rsid w:val="00E47A0C"/>
    <w:rsid w:val="00E76528"/>
    <w:rsid w:val="00E82837"/>
    <w:rsid w:val="00E846C7"/>
    <w:rsid w:val="00E87108"/>
    <w:rsid w:val="00EB2DC2"/>
    <w:rsid w:val="00ED0E1A"/>
    <w:rsid w:val="00EE5045"/>
    <w:rsid w:val="00EE6E3D"/>
    <w:rsid w:val="00F1113B"/>
    <w:rsid w:val="00F13025"/>
    <w:rsid w:val="00F16B0E"/>
    <w:rsid w:val="00F31E03"/>
    <w:rsid w:val="00F524C4"/>
    <w:rsid w:val="00F55C41"/>
    <w:rsid w:val="00F6127C"/>
    <w:rsid w:val="00F6276F"/>
    <w:rsid w:val="00F876F1"/>
    <w:rsid w:val="00F97F60"/>
    <w:rsid w:val="00FC1190"/>
    <w:rsid w:val="00FC26EF"/>
    <w:rsid w:val="00FE294D"/>
    <w:rsid w:val="00FE4640"/>
    <w:rsid w:val="00FF1075"/>
    <w:rsid w:val="00FF27BC"/>
    <w:rsid w:val="00FF2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E04"/>
    <w:pPr>
      <w:spacing w:before="240" w:after="40"/>
    </w:pPr>
    <w:rPr>
      <w:rFonts w:ascii="Garamond" w:eastAsia="Times New Roman"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607E04"/>
    <w:rPr>
      <w:rFonts w:ascii="Times New Roman" w:hAnsi="Times New Roman" w:cs="Times New Roman"/>
      <w:color w:val="0000FF"/>
      <w:u w:val="single"/>
    </w:rPr>
  </w:style>
  <w:style w:type="paragraph" w:customStyle="1" w:styleId="Odstavecseseznamem1">
    <w:name w:val="Odstavec se seznamem1"/>
    <w:basedOn w:val="Normln"/>
    <w:uiPriority w:val="99"/>
    <w:qFormat/>
    <w:rsid w:val="00607E04"/>
    <w:pPr>
      <w:numPr>
        <w:ilvl w:val="2"/>
        <w:numId w:val="1"/>
      </w:numPr>
      <w:spacing w:before="200"/>
      <w:jc w:val="both"/>
    </w:pPr>
    <w:rPr>
      <w:rFonts w:cs="Garamond"/>
      <w:sz w:val="24"/>
      <w:szCs w:val="24"/>
    </w:rPr>
  </w:style>
  <w:style w:type="paragraph" w:styleId="Zhlav">
    <w:name w:val="header"/>
    <w:basedOn w:val="Normln"/>
    <w:link w:val="ZhlavChar1"/>
    <w:uiPriority w:val="99"/>
    <w:semiHidden/>
    <w:rsid w:val="00607E04"/>
    <w:pPr>
      <w:tabs>
        <w:tab w:val="center" w:pos="4536"/>
        <w:tab w:val="right" w:pos="9072"/>
      </w:tabs>
    </w:pPr>
    <w:rPr>
      <w:rFonts w:cs="Times New Roman"/>
      <w:sz w:val="20"/>
      <w:szCs w:val="20"/>
    </w:rPr>
  </w:style>
  <w:style w:type="character" w:customStyle="1" w:styleId="ZhlavChar">
    <w:name w:val="Záhlaví Char"/>
    <w:basedOn w:val="Standardnpsmoodstavce"/>
    <w:uiPriority w:val="99"/>
    <w:semiHidden/>
    <w:rsid w:val="00607E04"/>
    <w:rPr>
      <w:rFonts w:ascii="Garamond" w:eastAsia="Times New Roman" w:hAnsi="Garamond" w:cs="Calibri"/>
    </w:rPr>
  </w:style>
  <w:style w:type="character" w:customStyle="1" w:styleId="ZhlavChar1">
    <w:name w:val="Záhlaví Char1"/>
    <w:basedOn w:val="Standardnpsmoodstavce"/>
    <w:link w:val="Zhlav"/>
    <w:uiPriority w:val="99"/>
    <w:semiHidden/>
    <w:locked/>
    <w:rsid w:val="00607E04"/>
    <w:rPr>
      <w:rFonts w:ascii="Garamond" w:eastAsia="Times New Roman" w:hAnsi="Garamond" w:cs="Times New Roman"/>
      <w:sz w:val="20"/>
      <w:szCs w:val="20"/>
    </w:rPr>
  </w:style>
  <w:style w:type="paragraph" w:styleId="Podtitul">
    <w:name w:val="Subtitle"/>
    <w:basedOn w:val="Normln"/>
    <w:next w:val="Odstavecseseznamem1"/>
    <w:link w:val="PodtitulChar"/>
    <w:uiPriority w:val="99"/>
    <w:qFormat/>
    <w:rsid w:val="00607E04"/>
    <w:pPr>
      <w:numPr>
        <w:ilvl w:val="1"/>
        <w:numId w:val="1"/>
      </w:numPr>
      <w:spacing w:after="240"/>
      <w:jc w:val="both"/>
    </w:pPr>
    <w:rPr>
      <w:rFonts w:ascii="Cambria" w:hAnsi="Cambria" w:cs="Times New Roman"/>
      <w:sz w:val="24"/>
      <w:szCs w:val="20"/>
    </w:rPr>
  </w:style>
  <w:style w:type="character" w:customStyle="1" w:styleId="PodtitulChar">
    <w:name w:val="Podtitul Char"/>
    <w:basedOn w:val="Standardnpsmoodstavce"/>
    <w:link w:val="Podtitul"/>
    <w:uiPriority w:val="99"/>
    <w:rsid w:val="00607E04"/>
    <w:rPr>
      <w:rFonts w:ascii="Cambria" w:eastAsia="Times New Roman" w:hAnsi="Cambria" w:cs="Times New Roman"/>
      <w:sz w:val="24"/>
      <w:szCs w:val="20"/>
    </w:rPr>
  </w:style>
  <w:style w:type="paragraph" w:customStyle="1" w:styleId="Odstavecseseznamem11">
    <w:name w:val="Odstavec se seznamem11"/>
    <w:basedOn w:val="Odstavecseseznamem1"/>
    <w:uiPriority w:val="99"/>
    <w:rsid w:val="00607E04"/>
    <w:pPr>
      <w:numPr>
        <w:ilvl w:val="3"/>
      </w:numPr>
      <w:spacing w:before="0"/>
    </w:pPr>
  </w:style>
  <w:style w:type="paragraph" w:styleId="Odstavecseseznamem">
    <w:name w:val="List Paragraph"/>
    <w:basedOn w:val="Normln"/>
    <w:uiPriority w:val="99"/>
    <w:qFormat/>
    <w:rsid w:val="00607E04"/>
    <w:pPr>
      <w:ind w:left="708"/>
    </w:pPr>
  </w:style>
  <w:style w:type="paragraph" w:styleId="Textbubliny">
    <w:name w:val="Balloon Text"/>
    <w:basedOn w:val="Normln"/>
    <w:link w:val="TextbublinyChar"/>
    <w:uiPriority w:val="99"/>
    <w:semiHidden/>
    <w:unhideWhenUsed/>
    <w:rsid w:val="00607E0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7E04"/>
    <w:rPr>
      <w:rFonts w:ascii="Tahoma" w:eastAsia="Times New Roman" w:hAnsi="Tahoma" w:cs="Tahoma"/>
      <w:sz w:val="16"/>
      <w:szCs w:val="16"/>
    </w:rPr>
  </w:style>
  <w:style w:type="paragraph" w:styleId="Zpat">
    <w:name w:val="footer"/>
    <w:basedOn w:val="Normln"/>
    <w:link w:val="ZpatChar"/>
    <w:uiPriority w:val="99"/>
    <w:unhideWhenUsed/>
    <w:rsid w:val="0082198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21988"/>
    <w:rPr>
      <w:rFonts w:ascii="Garamond" w:eastAsia="Times New Roman" w:hAnsi="Garamond"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7E04"/>
    <w:pPr>
      <w:spacing w:before="240" w:after="40"/>
    </w:pPr>
    <w:rPr>
      <w:rFonts w:ascii="Garamond" w:eastAsia="Times New Roman" w:hAnsi="Garamond"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607E04"/>
    <w:rPr>
      <w:rFonts w:ascii="Times New Roman" w:hAnsi="Times New Roman" w:cs="Times New Roman"/>
      <w:color w:val="0000FF"/>
      <w:u w:val="single"/>
    </w:rPr>
  </w:style>
  <w:style w:type="paragraph" w:customStyle="1" w:styleId="Odstavecseseznamem1">
    <w:name w:val="Odstavec se seznamem1"/>
    <w:basedOn w:val="Normln"/>
    <w:uiPriority w:val="99"/>
    <w:qFormat/>
    <w:rsid w:val="00607E04"/>
    <w:pPr>
      <w:numPr>
        <w:ilvl w:val="2"/>
        <w:numId w:val="1"/>
      </w:numPr>
      <w:spacing w:before="200"/>
      <w:jc w:val="both"/>
    </w:pPr>
    <w:rPr>
      <w:rFonts w:cs="Garamond"/>
      <w:sz w:val="24"/>
      <w:szCs w:val="24"/>
    </w:rPr>
  </w:style>
  <w:style w:type="paragraph" w:styleId="Zhlav">
    <w:name w:val="header"/>
    <w:basedOn w:val="Normln"/>
    <w:link w:val="ZhlavChar1"/>
    <w:uiPriority w:val="99"/>
    <w:semiHidden/>
    <w:rsid w:val="00607E04"/>
    <w:pPr>
      <w:tabs>
        <w:tab w:val="center" w:pos="4536"/>
        <w:tab w:val="right" w:pos="9072"/>
      </w:tabs>
    </w:pPr>
    <w:rPr>
      <w:rFonts w:cs="Times New Roman"/>
      <w:sz w:val="20"/>
      <w:szCs w:val="20"/>
    </w:rPr>
  </w:style>
  <w:style w:type="character" w:customStyle="1" w:styleId="ZhlavChar">
    <w:name w:val="Záhlaví Char"/>
    <w:basedOn w:val="Standardnpsmoodstavce"/>
    <w:uiPriority w:val="99"/>
    <w:semiHidden/>
    <w:rsid w:val="00607E04"/>
    <w:rPr>
      <w:rFonts w:ascii="Garamond" w:eastAsia="Times New Roman" w:hAnsi="Garamond" w:cs="Calibri"/>
    </w:rPr>
  </w:style>
  <w:style w:type="character" w:customStyle="1" w:styleId="ZhlavChar1">
    <w:name w:val="Záhlaví Char1"/>
    <w:basedOn w:val="Standardnpsmoodstavce"/>
    <w:link w:val="Zhlav"/>
    <w:uiPriority w:val="99"/>
    <w:semiHidden/>
    <w:locked/>
    <w:rsid w:val="00607E04"/>
    <w:rPr>
      <w:rFonts w:ascii="Garamond" w:eastAsia="Times New Roman" w:hAnsi="Garamond" w:cs="Times New Roman"/>
      <w:sz w:val="20"/>
      <w:szCs w:val="20"/>
    </w:rPr>
  </w:style>
  <w:style w:type="paragraph" w:styleId="Podtitul">
    <w:name w:val="Subtitle"/>
    <w:basedOn w:val="Normln"/>
    <w:next w:val="Odstavecseseznamem1"/>
    <w:link w:val="PodtitulChar"/>
    <w:uiPriority w:val="99"/>
    <w:qFormat/>
    <w:rsid w:val="00607E04"/>
    <w:pPr>
      <w:numPr>
        <w:ilvl w:val="1"/>
        <w:numId w:val="1"/>
      </w:numPr>
      <w:spacing w:after="240"/>
      <w:jc w:val="both"/>
    </w:pPr>
    <w:rPr>
      <w:rFonts w:ascii="Cambria" w:hAnsi="Cambria" w:cs="Times New Roman"/>
      <w:sz w:val="24"/>
      <w:szCs w:val="20"/>
    </w:rPr>
  </w:style>
  <w:style w:type="character" w:customStyle="1" w:styleId="PodtitulChar">
    <w:name w:val="Podtitul Char"/>
    <w:basedOn w:val="Standardnpsmoodstavce"/>
    <w:link w:val="Podtitul"/>
    <w:uiPriority w:val="99"/>
    <w:rsid w:val="00607E04"/>
    <w:rPr>
      <w:rFonts w:ascii="Cambria" w:eastAsia="Times New Roman" w:hAnsi="Cambria" w:cs="Times New Roman"/>
      <w:sz w:val="24"/>
      <w:szCs w:val="20"/>
    </w:rPr>
  </w:style>
  <w:style w:type="paragraph" w:customStyle="1" w:styleId="Odstavecseseznamem11">
    <w:name w:val="Odstavec se seznamem11"/>
    <w:basedOn w:val="Odstavecseseznamem1"/>
    <w:uiPriority w:val="99"/>
    <w:rsid w:val="00607E04"/>
    <w:pPr>
      <w:numPr>
        <w:ilvl w:val="3"/>
      </w:numPr>
      <w:spacing w:before="0"/>
    </w:pPr>
  </w:style>
  <w:style w:type="paragraph" w:styleId="Odstavecseseznamem">
    <w:name w:val="List Paragraph"/>
    <w:basedOn w:val="Normln"/>
    <w:uiPriority w:val="99"/>
    <w:qFormat/>
    <w:rsid w:val="00607E04"/>
    <w:pPr>
      <w:ind w:left="708"/>
    </w:pPr>
  </w:style>
  <w:style w:type="paragraph" w:styleId="Textbubliny">
    <w:name w:val="Balloon Text"/>
    <w:basedOn w:val="Normln"/>
    <w:link w:val="TextbublinyChar"/>
    <w:uiPriority w:val="99"/>
    <w:semiHidden/>
    <w:unhideWhenUsed/>
    <w:rsid w:val="00607E0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7E04"/>
    <w:rPr>
      <w:rFonts w:ascii="Tahoma" w:eastAsia="Times New Roman" w:hAnsi="Tahoma" w:cs="Tahoma"/>
      <w:sz w:val="16"/>
      <w:szCs w:val="16"/>
    </w:rPr>
  </w:style>
  <w:style w:type="paragraph" w:styleId="Zpat">
    <w:name w:val="footer"/>
    <w:basedOn w:val="Normln"/>
    <w:link w:val="ZpatChar"/>
    <w:uiPriority w:val="99"/>
    <w:unhideWhenUsed/>
    <w:rsid w:val="00821988"/>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21988"/>
    <w:rPr>
      <w:rFonts w:ascii="Garamond" w:eastAsia="Times New Roman"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7142">
      <w:bodyDiv w:val="1"/>
      <w:marLeft w:val="0"/>
      <w:marRight w:val="0"/>
      <w:marTop w:val="0"/>
      <w:marBottom w:val="0"/>
      <w:divBdr>
        <w:top w:val="none" w:sz="0" w:space="0" w:color="auto"/>
        <w:left w:val="none" w:sz="0" w:space="0" w:color="auto"/>
        <w:bottom w:val="none" w:sz="0" w:space="0" w:color="auto"/>
        <w:right w:val="none" w:sz="0" w:space="0" w:color="auto"/>
      </w:divBdr>
    </w:div>
    <w:div w:id="12124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cs/Microsites/IROP/Vyzvy/Vyzva-c-68-Zvysovani-kvality-a-dostupnosti-Infrastruktury-pro-vzdel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2705</Words>
  <Characters>15965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Miroslava Birosova</cp:lastModifiedBy>
  <cp:revision>23</cp:revision>
  <cp:lastPrinted>2018-06-06T06:17:00Z</cp:lastPrinted>
  <dcterms:created xsi:type="dcterms:W3CDTF">2016-11-28T11:20:00Z</dcterms:created>
  <dcterms:modified xsi:type="dcterms:W3CDTF">2018-06-11T07:25:00Z</dcterms:modified>
</cp:coreProperties>
</file>