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40481F02" w:rsidR="0024468F" w:rsidRDefault="0024468F" w:rsidP="00312BE2">
      <w:pPr>
        <w:ind w:left="4956" w:firstLine="708"/>
        <w:jc w:val="center"/>
        <w:rPr>
          <w:rFonts w:asciiTheme="minorHAnsi" w:hAnsiTheme="minorHAnsi"/>
        </w:rPr>
      </w:pPr>
    </w:p>
    <w:p w14:paraId="67C9EB0E" w14:textId="77777777" w:rsidR="00312BE2" w:rsidRPr="00312BE2" w:rsidRDefault="00312BE2" w:rsidP="00312BE2">
      <w:pPr>
        <w:ind w:left="4956" w:firstLine="708"/>
        <w:jc w:val="center"/>
        <w:rPr>
          <w:rFonts w:asciiTheme="minorHAnsi" w:hAnsiTheme="minorHAnsi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3ADC0A4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4E4C79">
        <w:rPr>
          <w:rFonts w:asciiTheme="minorHAnsi" w:hAnsiTheme="minorHAnsi"/>
          <w:b/>
          <w:sz w:val="28"/>
          <w:szCs w:val="28"/>
        </w:rPr>
        <w:t>00125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3FDEF0C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A80CAE">
        <w:rPr>
          <w:rFonts w:asciiTheme="minorHAnsi" w:hAnsiTheme="minorHAnsi"/>
          <w:sz w:val="22"/>
          <w:szCs w:val="22"/>
        </w:rPr>
        <w:t>Mgr. Ivou Bartošovou, vedoucí odboru 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6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92CB863" w14:textId="01BD834D" w:rsidR="00EB5E74" w:rsidRPr="00515D12" w:rsidRDefault="004E4C79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  <w:r w:rsidR="007933FA">
        <w:rPr>
          <w:rFonts w:asciiTheme="minorHAnsi" w:hAnsiTheme="minorHAnsi"/>
          <w:sz w:val="22"/>
          <w:szCs w:val="22"/>
        </w:rPr>
        <w:t>,</w:t>
      </w:r>
    </w:p>
    <w:p w14:paraId="792CB864" w14:textId="7A2592F2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4E4C79">
        <w:rPr>
          <w:rFonts w:asciiTheme="minorHAnsi" w:hAnsiTheme="minorHAnsi"/>
          <w:sz w:val="22"/>
          <w:szCs w:val="22"/>
        </w:rPr>
        <w:t>Jungmannova 2550, Zelené Předměstí, 530 02 Pardubice</w:t>
      </w:r>
      <w:r w:rsidR="007933FA">
        <w:rPr>
          <w:rFonts w:asciiTheme="minorHAnsi" w:hAnsiTheme="minorHAnsi"/>
          <w:sz w:val="22"/>
          <w:szCs w:val="22"/>
        </w:rPr>
        <w:t>,</w:t>
      </w:r>
    </w:p>
    <w:p w14:paraId="792CB865" w14:textId="3267C6CD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4E4C79">
        <w:rPr>
          <w:rFonts w:asciiTheme="minorHAnsi" w:hAnsiTheme="minorHAnsi"/>
          <w:sz w:val="22"/>
          <w:szCs w:val="22"/>
        </w:rPr>
        <w:t>27534804</w:t>
      </w:r>
      <w:r w:rsidR="007947B1">
        <w:rPr>
          <w:rFonts w:asciiTheme="minorHAnsi" w:hAnsiTheme="minorHAnsi"/>
          <w:sz w:val="22"/>
          <w:szCs w:val="22"/>
        </w:rPr>
        <w:t>,</w:t>
      </w:r>
    </w:p>
    <w:p w14:paraId="792CB866" w14:textId="3AADDDDD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bankovní spojení: </w:t>
      </w:r>
      <w:r w:rsidR="004E4C79">
        <w:rPr>
          <w:rFonts w:asciiTheme="minorHAnsi" w:hAnsiTheme="minorHAnsi"/>
          <w:sz w:val="22"/>
          <w:szCs w:val="22"/>
        </w:rPr>
        <w:t>221077482</w:t>
      </w:r>
      <w:r w:rsidR="007947B1">
        <w:rPr>
          <w:rFonts w:asciiTheme="minorHAnsi" w:hAnsiTheme="minorHAnsi"/>
          <w:sz w:val="22"/>
          <w:szCs w:val="22"/>
        </w:rPr>
        <w:t>/</w:t>
      </w:r>
      <w:r w:rsidR="0011289B">
        <w:rPr>
          <w:rFonts w:asciiTheme="minorHAnsi" w:hAnsiTheme="minorHAnsi"/>
          <w:sz w:val="22"/>
          <w:szCs w:val="22"/>
        </w:rPr>
        <w:t>0300</w:t>
      </w:r>
      <w:r w:rsidR="007933FA">
        <w:rPr>
          <w:rFonts w:asciiTheme="minorHAnsi" w:hAnsiTheme="minorHAnsi"/>
          <w:sz w:val="22"/>
          <w:szCs w:val="22"/>
        </w:rPr>
        <w:t>,</w:t>
      </w:r>
    </w:p>
    <w:p w14:paraId="792CB867" w14:textId="6B508110" w:rsidR="00EB5E74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zastoupené: </w:t>
      </w:r>
      <w:r w:rsidR="004E4C79">
        <w:rPr>
          <w:rFonts w:asciiTheme="minorHAnsi" w:hAnsiTheme="minorHAnsi"/>
          <w:sz w:val="22"/>
          <w:szCs w:val="22"/>
        </w:rPr>
        <w:t xml:space="preserve">Mgr. Jiřím </w:t>
      </w:r>
      <w:proofErr w:type="spellStart"/>
      <w:r w:rsidR="004E4C79">
        <w:rPr>
          <w:rFonts w:asciiTheme="minorHAnsi" w:hAnsiTheme="minorHAnsi"/>
          <w:sz w:val="22"/>
          <w:szCs w:val="22"/>
        </w:rPr>
        <w:t>Pitašem</w:t>
      </w:r>
      <w:proofErr w:type="spellEnd"/>
      <w:r w:rsidR="004E4C79">
        <w:rPr>
          <w:rFonts w:asciiTheme="minorHAnsi" w:hAnsiTheme="minorHAnsi"/>
          <w:sz w:val="22"/>
          <w:szCs w:val="22"/>
        </w:rPr>
        <w:t>, statutárním zástupcem</w:t>
      </w:r>
      <w:r w:rsidR="000A2F2D">
        <w:rPr>
          <w:rFonts w:asciiTheme="minorHAnsi" w:hAnsiTheme="minorHAnsi"/>
          <w:sz w:val="22"/>
          <w:szCs w:val="22"/>
        </w:rPr>
        <w:t xml:space="preserve"> </w:t>
      </w:r>
    </w:p>
    <w:p w14:paraId="792CB868" w14:textId="3018AC7D" w:rsidR="00EB5E74" w:rsidRPr="00BE0522" w:rsidRDefault="0011289B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B5E74"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376DCEFD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</w:t>
      </w:r>
      <w:r w:rsidR="0011289B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proofErr w:type="gramStart"/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proofErr w:type="gramEnd"/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7D1C9624" w:rsidR="000A0147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4E4C79">
        <w:rPr>
          <w:rFonts w:asciiTheme="minorHAnsi" w:hAnsiTheme="minorHAnsi"/>
          <w:b/>
          <w:sz w:val="22"/>
          <w:szCs w:val="22"/>
        </w:rPr>
        <w:t>78</w:t>
      </w:r>
      <w:r w:rsidR="0011289B">
        <w:rPr>
          <w:rFonts w:asciiTheme="minorHAnsi" w:hAnsiTheme="minorHAnsi"/>
          <w:b/>
          <w:sz w:val="22"/>
          <w:szCs w:val="22"/>
        </w:rPr>
        <w:t xml:space="preserve"> </w:t>
      </w:r>
      <w:r w:rsidR="004E4C79">
        <w:rPr>
          <w:rFonts w:asciiTheme="minorHAnsi" w:hAnsiTheme="minorHAnsi"/>
          <w:b/>
          <w:sz w:val="22"/>
          <w:szCs w:val="22"/>
        </w:rPr>
        <w:t>4</w:t>
      </w:r>
      <w:r w:rsidR="0011289B">
        <w:rPr>
          <w:rFonts w:asciiTheme="minorHAnsi" w:hAnsiTheme="minorHAnsi"/>
          <w:b/>
          <w:sz w:val="22"/>
          <w:szCs w:val="22"/>
        </w:rPr>
        <w:t>00</w:t>
      </w:r>
      <w:r w:rsidR="00243D9C">
        <w:rPr>
          <w:rFonts w:asciiTheme="minorHAnsi" w:hAnsiTheme="minorHAnsi"/>
          <w:b/>
          <w:sz w:val="22"/>
          <w:szCs w:val="22"/>
        </w:rPr>
        <w:t>,</w:t>
      </w:r>
      <w:r w:rsidR="00772A39" w:rsidRPr="00BC41E3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E24911">
        <w:rPr>
          <w:rFonts w:asciiTheme="minorHAnsi" w:hAnsiTheme="minorHAnsi"/>
          <w:sz w:val="22"/>
          <w:szCs w:val="22"/>
        </w:rPr>
        <w:t>(slovy:</w:t>
      </w:r>
      <w:r w:rsidR="00FA2CBA" w:rsidRPr="00E249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E4C79">
        <w:rPr>
          <w:rFonts w:asciiTheme="minorHAnsi" w:hAnsiTheme="minorHAnsi"/>
          <w:b/>
          <w:sz w:val="22"/>
          <w:szCs w:val="22"/>
        </w:rPr>
        <w:t>Sedmdesátosmtisícčtyřistakorun</w:t>
      </w:r>
      <w:proofErr w:type="spellEnd"/>
      <w:r w:rsidR="00E24911" w:rsidRPr="00E24911">
        <w:rPr>
          <w:rFonts w:asciiTheme="minorHAnsi" w:hAnsiTheme="minorHAnsi"/>
          <w:sz w:val="22"/>
          <w:szCs w:val="22"/>
        </w:rPr>
        <w:t xml:space="preserve"> </w:t>
      </w:r>
      <w:r w:rsidR="004E4C79">
        <w:rPr>
          <w:rFonts w:asciiTheme="minorHAnsi" w:hAnsiTheme="minorHAnsi"/>
          <w:b/>
          <w:sz w:val="22"/>
          <w:szCs w:val="22"/>
        </w:rPr>
        <w:t>českých</w:t>
      </w:r>
      <w:r w:rsidRPr="00E2491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4E4C79">
        <w:rPr>
          <w:rFonts w:asciiTheme="minorHAnsi" w:hAnsiTheme="minorHAnsi"/>
          <w:b/>
          <w:sz w:val="22"/>
          <w:szCs w:val="22"/>
        </w:rPr>
        <w:t>Prázdniny s Free klubem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34113879" w14:textId="77777777" w:rsidR="00E52619" w:rsidRDefault="00E52619" w:rsidP="00E52619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92CB87E" w14:textId="762FC431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787FD3A5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</w:t>
      </w:r>
      <w:r w:rsidR="004E4C79">
        <w:rPr>
          <w:rFonts w:asciiTheme="minorHAnsi" w:hAnsiTheme="minorHAnsi"/>
          <w:sz w:val="22"/>
          <w:szCs w:val="22"/>
        </w:rPr>
        <w:t>0</w:t>
      </w:r>
      <w:r w:rsidR="003200B9">
        <w:rPr>
          <w:rFonts w:asciiTheme="minorHAnsi" w:hAnsiTheme="minorHAnsi"/>
          <w:sz w:val="22"/>
          <w:szCs w:val="22"/>
        </w:rPr>
        <w:t>.</w:t>
      </w:r>
      <w:r w:rsidR="004E4C79">
        <w:rPr>
          <w:rFonts w:asciiTheme="minorHAnsi" w:hAnsiTheme="minorHAnsi"/>
          <w:sz w:val="22"/>
          <w:szCs w:val="22"/>
        </w:rPr>
        <w:t>09</w:t>
      </w:r>
      <w:r w:rsidR="003200B9">
        <w:rPr>
          <w:rFonts w:asciiTheme="minorHAnsi" w:hAnsiTheme="minorHAnsi"/>
          <w:sz w:val="22"/>
          <w:szCs w:val="22"/>
        </w:rPr>
        <w:t>.201</w:t>
      </w:r>
      <w:r w:rsidR="00990FF5">
        <w:rPr>
          <w:rFonts w:asciiTheme="minorHAnsi" w:hAnsiTheme="minorHAnsi"/>
          <w:sz w:val="22"/>
          <w:szCs w:val="22"/>
        </w:rPr>
        <w:t>8</w:t>
      </w:r>
      <w:proofErr w:type="gramEnd"/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4A5018E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</w:t>
      </w:r>
      <w:r w:rsidR="004E4C79">
        <w:rPr>
          <w:rFonts w:asciiTheme="minorHAnsi" w:hAnsiTheme="minorHAnsi"/>
          <w:sz w:val="22"/>
          <w:szCs w:val="22"/>
        </w:rPr>
        <w:t xml:space="preserve"> Pravidlech a </w:t>
      </w:r>
      <w:r w:rsidRPr="0077759E">
        <w:rPr>
          <w:rFonts w:asciiTheme="minorHAnsi" w:hAnsiTheme="minorHAnsi"/>
          <w:sz w:val="22"/>
          <w:szCs w:val="22"/>
        </w:rPr>
        <w:t>Zásadách a obecně závaznými právními předpisy,</w:t>
      </w:r>
    </w:p>
    <w:p w14:paraId="792CB88C" w14:textId="5AF3F8E4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4E4C79">
        <w:rPr>
          <w:rFonts w:asciiTheme="minorHAnsi" w:hAnsiTheme="minorHAnsi"/>
          <w:sz w:val="22"/>
          <w:szCs w:val="22"/>
        </w:rPr>
        <w:t>09</w:t>
      </w:r>
      <w:r w:rsidR="003200B9">
        <w:rPr>
          <w:rFonts w:asciiTheme="minorHAnsi" w:hAnsiTheme="minorHAnsi"/>
          <w:sz w:val="22"/>
          <w:szCs w:val="22"/>
        </w:rPr>
        <w:t>.</w:t>
      </w:r>
      <w:r w:rsidR="007947B1">
        <w:rPr>
          <w:rFonts w:asciiTheme="minorHAnsi" w:hAnsiTheme="minorHAnsi"/>
          <w:sz w:val="22"/>
          <w:szCs w:val="22"/>
        </w:rPr>
        <w:t>0</w:t>
      </w:r>
      <w:r w:rsidR="004E4C79">
        <w:rPr>
          <w:rFonts w:asciiTheme="minorHAnsi" w:hAnsiTheme="minorHAnsi"/>
          <w:sz w:val="22"/>
          <w:szCs w:val="22"/>
        </w:rPr>
        <w:t>4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4E4C79">
        <w:rPr>
          <w:rFonts w:asciiTheme="minorHAnsi" w:hAnsiTheme="minorHAnsi"/>
          <w:sz w:val="22"/>
          <w:szCs w:val="22"/>
        </w:rPr>
        <w:t>23285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3703315C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odděleně, a to v souladu se zákonem č. 563/1991 Sb., o účetnictví, ve znění pozdějších předpisů (tj. zejména vést účetnictví správné, úplné, průkazné, srozumitelné, přehledné a způsobem zaručujícím trvalost účetních záznamů) a prokázat řádnými účetními doklady celkové skutečně vynaložené náklady na daný účel. </w:t>
      </w:r>
      <w:r w:rsidRPr="00331DF2">
        <w:rPr>
          <w:rFonts w:asciiTheme="minorHAnsi" w:hAnsi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331DF2">
        <w:rPr>
          <w:rFonts w:asciiTheme="minorHAnsi" w:hAnsiTheme="minorHAnsi"/>
          <w:sz w:val="22"/>
          <w:szCs w:val="22"/>
        </w:rPr>
        <w:t xml:space="preserve">, </w:t>
      </w:r>
    </w:p>
    <w:p w14:paraId="792CB88F" w14:textId="42315EC7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4E4C79">
        <w:rPr>
          <w:rFonts w:ascii="Calibri" w:hAnsi="Calibri"/>
          <w:b/>
          <w:sz w:val="22"/>
          <w:szCs w:val="22"/>
        </w:rPr>
        <w:t>31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4E4C79">
        <w:rPr>
          <w:rFonts w:ascii="Calibri" w:hAnsi="Calibri"/>
          <w:b/>
          <w:sz w:val="22"/>
          <w:szCs w:val="22"/>
        </w:rPr>
        <w:t>10</w:t>
      </w:r>
      <w:r w:rsidR="003200B9">
        <w:rPr>
          <w:rFonts w:ascii="Calibri" w:hAnsi="Calibri"/>
          <w:b/>
          <w:sz w:val="22"/>
          <w:szCs w:val="22"/>
        </w:rPr>
        <w:t>.201</w:t>
      </w:r>
      <w:r w:rsidR="004E4C79">
        <w:rPr>
          <w:rFonts w:ascii="Calibri" w:hAnsi="Calibri"/>
          <w:b/>
          <w:sz w:val="22"/>
          <w:szCs w:val="22"/>
        </w:rPr>
        <w:t>8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0497418B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(např. uvedení nápisu: Financováno z dotace statutárního města Pardubice (</w:t>
      </w:r>
      <w:proofErr w:type="spellStart"/>
      <w:r w:rsidRPr="00331DF2">
        <w:rPr>
          <w:rFonts w:asciiTheme="minorHAnsi" w:hAnsiTheme="minorHAnsi"/>
          <w:sz w:val="22"/>
          <w:szCs w:val="22"/>
        </w:rPr>
        <w:t>SmP</w:t>
      </w:r>
      <w:proofErr w:type="spellEnd"/>
      <w:r w:rsidRPr="00331DF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331DF2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39BA2978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35EF559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</w:t>
      </w:r>
      <w:r w:rsidR="004E4C79">
        <w:rPr>
          <w:rFonts w:asciiTheme="minorHAnsi" w:hAnsiTheme="minorHAnsi"/>
          <w:b/>
          <w:sz w:val="22"/>
          <w:szCs w:val="22"/>
        </w:rPr>
        <w:t>0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E4C79">
        <w:rPr>
          <w:rFonts w:asciiTheme="minorHAnsi" w:hAnsiTheme="minorHAnsi"/>
          <w:b/>
          <w:sz w:val="22"/>
          <w:szCs w:val="22"/>
        </w:rPr>
        <w:t>09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990FF5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629A811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</w:t>
      </w:r>
      <w:r w:rsidR="004E4C79">
        <w:rPr>
          <w:rFonts w:asciiTheme="minorHAnsi" w:hAnsiTheme="minorHAnsi"/>
          <w:b/>
          <w:sz w:val="22"/>
          <w:szCs w:val="22"/>
        </w:rPr>
        <w:t>0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0A607E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821C5A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</w:t>
      </w:r>
      <w:r w:rsidR="004E4C79">
        <w:rPr>
          <w:rFonts w:asciiTheme="minorHAnsi" w:hAnsiTheme="minorHAnsi"/>
          <w:b/>
          <w:sz w:val="22"/>
          <w:szCs w:val="22"/>
        </w:rPr>
        <w:t>0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0A607E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249B71DB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5E62968" w14:textId="77777777" w:rsidR="008D4B97" w:rsidRPr="008D4B97" w:rsidRDefault="000A0147" w:rsidP="008D4B9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  <w:r w:rsidR="008D4B97" w:rsidRPr="008D4B97">
        <w:rPr>
          <w:rFonts w:asciiTheme="minorHAnsi" w:hAnsiTheme="minorHAnsi"/>
          <w:sz w:val="22"/>
          <w:szCs w:val="22"/>
        </w:rPr>
        <w:t xml:space="preserve"> </w:t>
      </w:r>
    </w:p>
    <w:p w14:paraId="792CB8BC" w14:textId="049DC924" w:rsidR="000A0147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E" w14:textId="15283B0D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436E1280" w14:textId="77777777" w:rsidR="002E7761" w:rsidRPr="00515D12" w:rsidRDefault="002E7761" w:rsidP="000A0147">
      <w:pPr>
        <w:jc w:val="both"/>
        <w:rPr>
          <w:rFonts w:asciiTheme="minorHAnsi" w:hAnsiTheme="minorHAnsi"/>
          <w:sz w:val="22"/>
          <w:szCs w:val="22"/>
        </w:rPr>
      </w:pPr>
    </w:p>
    <w:p w14:paraId="21A48A95" w14:textId="77777777" w:rsidR="004E4C79" w:rsidRDefault="004E4C79" w:rsidP="000A0147">
      <w:pPr>
        <w:jc w:val="center"/>
        <w:rPr>
          <w:rFonts w:asciiTheme="minorHAnsi" w:hAnsiTheme="minorHAnsi"/>
          <w:b/>
        </w:rPr>
      </w:pPr>
    </w:p>
    <w:p w14:paraId="08D698FC" w14:textId="77777777" w:rsidR="004E4C79" w:rsidRDefault="004E4C79" w:rsidP="000A0147">
      <w:pPr>
        <w:jc w:val="center"/>
        <w:rPr>
          <w:rFonts w:asciiTheme="minorHAnsi" w:hAnsiTheme="minorHAnsi"/>
          <w:b/>
        </w:rPr>
      </w:pPr>
    </w:p>
    <w:p w14:paraId="792CB8BF" w14:textId="40654A0D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646F26" w14:textId="77777777" w:rsidR="00783D93" w:rsidRDefault="00783D93" w:rsidP="00783D9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3C9ED68" w14:textId="77777777" w:rsidR="00783D93" w:rsidRDefault="00783D93" w:rsidP="00783D9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D2D544F" w14:textId="7F156B7F" w:rsidR="00BC3DF4" w:rsidRPr="00BC3DF4" w:rsidRDefault="000A0147" w:rsidP="002E7761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655EE3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625C065A" w:rsidR="000A0147" w:rsidRPr="00FA2CBA" w:rsidRDefault="00135A6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Výjimky z ustanovení odst. 2</w:t>
      </w:r>
      <w:r w:rsidR="00783D93" w:rsidRPr="00783D93">
        <w:rPr>
          <w:rFonts w:asciiTheme="minorHAnsi" w:hAnsiTheme="minorHAnsi"/>
          <w:sz w:val="22"/>
          <w:szCs w:val="22"/>
        </w:rPr>
        <w:t xml:space="preserve">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08C051FA" w14:textId="77777777" w:rsidR="00783D93" w:rsidRPr="00783D93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783D93">
        <w:rPr>
          <w:rFonts w:ascii="Calibri" w:hAnsi="Calibri"/>
          <w:sz w:val="22"/>
          <w:szCs w:val="22"/>
        </w:rPr>
        <w:t>,</w:t>
      </w:r>
    </w:p>
    <w:p w14:paraId="702C176E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f) této smlouvy; v tomto případě činí odvod za porušení rozpočtové kázně 10 % z poskytnuté dotace,</w:t>
      </w:r>
    </w:p>
    <w:p w14:paraId="668BC567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l) této smlouvy; v tomto případě činí odvod za porušení rozpočtové kázně 10 % z poskytnuté dotace.</w:t>
      </w:r>
    </w:p>
    <w:p w14:paraId="792CB8C8" w14:textId="77777777" w:rsidR="000A0147" w:rsidRDefault="000A0147" w:rsidP="00783D93">
      <w:pPr>
        <w:ind w:left="717"/>
        <w:rPr>
          <w:rFonts w:asciiTheme="minorHAnsi" w:hAnsiTheme="minorHAnsi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1814F3E3" w14:textId="77777777" w:rsidR="006E5239" w:rsidRDefault="006E5239" w:rsidP="004772D9">
      <w:pPr>
        <w:keepLines/>
        <w:rPr>
          <w:rFonts w:asciiTheme="minorHAnsi" w:hAnsiTheme="minorHAnsi"/>
          <w:b/>
        </w:rPr>
      </w:pPr>
    </w:p>
    <w:p w14:paraId="437CCB6D" w14:textId="77777777" w:rsidR="004E4C79" w:rsidRDefault="004E4C79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5CE277FD" w14:textId="77777777" w:rsidR="004E4C79" w:rsidRDefault="004E4C79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CE" w14:textId="2594EA05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lastRenderedPageBreak/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1A27EDE3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berou na vědomí, že nebude-li smlouva zveřejněna ani </w:t>
      </w:r>
      <w:r w:rsidR="00146B77">
        <w:rPr>
          <w:rFonts w:ascii="Calibri" w:hAnsi="Calibri"/>
          <w:sz w:val="22"/>
          <w:szCs w:val="22"/>
        </w:rPr>
        <w:t xml:space="preserve">do tří měsíců </w:t>
      </w:r>
      <w:r w:rsidRPr="002F0776">
        <w:rPr>
          <w:rFonts w:ascii="Calibri" w:hAnsi="Calibri"/>
          <w:sz w:val="22"/>
          <w:szCs w:val="22"/>
        </w:rPr>
        <w:t>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4C565A27" w14:textId="0D85380A" w:rsidR="00F63C56" w:rsidRPr="006F4D42" w:rsidRDefault="00F63C56" w:rsidP="006F4D42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6F4D42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7CD6BCD" w14:textId="77777777" w:rsidR="00F63C56" w:rsidRPr="00F63C56" w:rsidRDefault="00F63C56" w:rsidP="00F63C56">
      <w:pPr>
        <w:ind w:left="360"/>
        <w:jc w:val="both"/>
        <w:rPr>
          <w:rFonts w:ascii="Calibri" w:hAnsi="Calibri"/>
          <w:sz w:val="22"/>
          <w:szCs w:val="22"/>
        </w:rPr>
      </w:pPr>
    </w:p>
    <w:p w14:paraId="26674A57" w14:textId="5E710CCF" w:rsidR="00F63C56" w:rsidRPr="00F63C56" w:rsidRDefault="00F63C56" w:rsidP="00F63C5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63C56">
        <w:rPr>
          <w:rFonts w:ascii="Calibri" w:hAnsi="Calibri"/>
          <w:sz w:val="22"/>
          <w:szCs w:val="22"/>
        </w:rPr>
        <w:t>V souladu se zněním předchozího odstavce platí, že pro případ, kdy by smlouva obsahovala osobní údaje, které nejsou zahrnuty ve výše uvedeném výčtu</w:t>
      </w:r>
      <w:r>
        <w:rPr>
          <w:rFonts w:ascii="Calibri" w:hAnsi="Calibri"/>
          <w:sz w:val="22"/>
          <w:szCs w:val="22"/>
        </w:rPr>
        <w:t>,</w:t>
      </w:r>
      <w:r w:rsidRPr="00F63C56">
        <w:rPr>
          <w:rFonts w:ascii="Calibri" w:hAnsi="Calibri"/>
          <w:sz w:val="22"/>
          <w:szCs w:val="22"/>
        </w:rPr>
        <w:t xml:space="preserve"> a které zároveň nepodléhají uveřejnění dle příslušných právních předpisů, příjemce uděluje svůj souhlas se zpracováním těchto údajů, konkrétně s jejich zveřejněním v registru smluv ve smyslu zákona o registru smluv. Souhlas se uděluje na dobu neurčitou a je poskytnut dobrovolně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2E7761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57CAECC" w:rsidR="00AC05DE" w:rsidRDefault="00AC05DE" w:rsidP="002E7761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B342A5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</w:t>
      </w:r>
      <w:r w:rsidR="00B342A5">
        <w:rPr>
          <w:rFonts w:asciiTheme="minorHAnsi" w:hAnsiTheme="minorHAnsi"/>
          <w:sz w:val="22"/>
          <w:szCs w:val="22"/>
        </w:rPr>
        <w:t>každá ze smluvních stran</w:t>
      </w:r>
      <w:r w:rsidRPr="00515D12">
        <w:rPr>
          <w:rFonts w:asciiTheme="minorHAnsi" w:hAnsiTheme="minorHAnsi"/>
          <w:sz w:val="22"/>
          <w:szCs w:val="22"/>
        </w:rPr>
        <w:t xml:space="preserve"> obdrží </w:t>
      </w:r>
      <w:r w:rsidR="00B342A5">
        <w:rPr>
          <w:rFonts w:asciiTheme="minorHAnsi" w:hAnsiTheme="minorHAnsi"/>
          <w:sz w:val="22"/>
          <w:szCs w:val="22"/>
        </w:rPr>
        <w:t xml:space="preserve">po jednom </w:t>
      </w:r>
      <w:r w:rsidRPr="00515D12">
        <w:rPr>
          <w:rFonts w:asciiTheme="minorHAnsi" w:hAnsiTheme="minorHAnsi"/>
          <w:sz w:val="22"/>
          <w:szCs w:val="22"/>
        </w:rPr>
        <w:t xml:space="preserve"> v</w:t>
      </w:r>
      <w:r w:rsidR="00B342A5">
        <w:rPr>
          <w:rFonts w:asciiTheme="minorHAnsi" w:hAnsiTheme="minorHAnsi"/>
          <w:sz w:val="22"/>
          <w:szCs w:val="22"/>
        </w:rPr>
        <w:t>yhotovení</w:t>
      </w:r>
      <w:r w:rsidRPr="00515D12">
        <w:rPr>
          <w:rFonts w:asciiTheme="minorHAnsi" w:hAnsiTheme="minorHAnsi"/>
          <w:sz w:val="22"/>
          <w:szCs w:val="22"/>
        </w:rPr>
        <w:t>.</w:t>
      </w:r>
    </w:p>
    <w:p w14:paraId="792CB8E6" w14:textId="1B303153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016E7D2" w14:textId="77777777" w:rsidR="004E4C79" w:rsidRDefault="004E4C79" w:rsidP="002E6D8D">
      <w:pPr>
        <w:jc w:val="both"/>
        <w:rPr>
          <w:rFonts w:asciiTheme="minorHAnsi" w:hAnsiTheme="minorHAnsi"/>
          <w:sz w:val="22"/>
          <w:szCs w:val="22"/>
        </w:rPr>
      </w:pPr>
    </w:p>
    <w:p w14:paraId="57E86728" w14:textId="77777777" w:rsidR="004E4C79" w:rsidRDefault="004E4C79" w:rsidP="002E6D8D">
      <w:pPr>
        <w:jc w:val="both"/>
        <w:rPr>
          <w:rFonts w:asciiTheme="minorHAnsi" w:hAnsiTheme="minorHAnsi"/>
          <w:sz w:val="22"/>
          <w:szCs w:val="22"/>
        </w:rPr>
      </w:pPr>
    </w:p>
    <w:p w14:paraId="31B22C3A" w14:textId="77777777" w:rsidR="004E4C79" w:rsidRDefault="004E4C79" w:rsidP="002E6D8D">
      <w:pPr>
        <w:jc w:val="both"/>
        <w:rPr>
          <w:rFonts w:asciiTheme="minorHAnsi" w:hAnsiTheme="minorHAnsi"/>
          <w:sz w:val="22"/>
          <w:szCs w:val="22"/>
        </w:rPr>
      </w:pPr>
    </w:p>
    <w:p w14:paraId="03983B98" w14:textId="77777777" w:rsidR="004E4C79" w:rsidRDefault="004E4C79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5C088E5" w14:textId="77777777" w:rsidR="004E4C79" w:rsidRDefault="004E4C79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0232E67A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017A33BE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2A6BBD">
        <w:rPr>
          <w:rFonts w:asciiTheme="minorHAnsi" w:hAnsiTheme="minorHAnsi"/>
          <w:sz w:val="22"/>
          <w:szCs w:val="22"/>
        </w:rPr>
        <w:t>11</w:t>
      </w:r>
      <w:bookmarkStart w:id="0" w:name="_GoBack"/>
      <w:bookmarkEnd w:id="0"/>
      <w:r w:rsidR="0001160D">
        <w:rPr>
          <w:rFonts w:asciiTheme="minorHAnsi" w:hAnsiTheme="minorHAnsi"/>
          <w:sz w:val="22"/>
          <w:szCs w:val="22"/>
        </w:rPr>
        <w:t>.06.2018</w:t>
      </w:r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B" w14:textId="08A72703" w:rsidR="005629B3" w:rsidRDefault="000A0147" w:rsidP="005D36DF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A80CAE">
        <w:rPr>
          <w:rFonts w:asciiTheme="minorHAnsi" w:hAnsiTheme="minorHAnsi"/>
          <w:sz w:val="22"/>
          <w:szCs w:val="22"/>
        </w:rPr>
        <w:t>Mgr. 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4E4C79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4E4C79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C" w14:textId="37066851" w:rsidR="005629B3" w:rsidRDefault="005D36DF" w:rsidP="000A01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BDCB8C1" w14:textId="2DA888F9" w:rsidR="005D36DF" w:rsidRDefault="005D36DF" w:rsidP="000A0147">
      <w:pPr>
        <w:rPr>
          <w:rFonts w:asciiTheme="minorHAnsi" w:hAnsiTheme="minorHAnsi"/>
          <w:sz w:val="22"/>
          <w:szCs w:val="22"/>
        </w:rPr>
      </w:pPr>
    </w:p>
    <w:p w14:paraId="359B8F86" w14:textId="2BDDE411" w:rsidR="005D36DF" w:rsidRDefault="005D36DF" w:rsidP="000A0147">
      <w:pPr>
        <w:rPr>
          <w:rFonts w:asciiTheme="minorHAnsi" w:hAnsiTheme="minorHAnsi"/>
          <w:sz w:val="22"/>
          <w:szCs w:val="22"/>
        </w:rPr>
      </w:pPr>
    </w:p>
    <w:p w14:paraId="792CB8FF" w14:textId="13AF8598" w:rsidR="005629B3" w:rsidRDefault="005D36DF" w:rsidP="000A01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</w:p>
    <w:p w14:paraId="162EB350" w14:textId="77777777" w:rsidR="005D36DF" w:rsidRPr="00515D12" w:rsidRDefault="005D36DF" w:rsidP="000A0147">
      <w:pPr>
        <w:rPr>
          <w:rFonts w:asciiTheme="minorHAnsi" w:hAnsiTheme="minorHAnsi"/>
          <w:sz w:val="22"/>
          <w:szCs w:val="22"/>
        </w:rPr>
      </w:pPr>
    </w:p>
    <w:p w14:paraId="792CB900" w14:textId="41988244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AC05DE">
        <w:rPr>
          <w:rFonts w:asciiTheme="minorHAnsi" w:hAnsiTheme="minorHAnsi"/>
          <w:sz w:val="20"/>
          <w:szCs w:val="20"/>
        </w:rPr>
        <w:t>Z/</w:t>
      </w:r>
      <w:r w:rsidR="0001160D">
        <w:rPr>
          <w:rFonts w:asciiTheme="minorHAnsi" w:hAnsiTheme="minorHAnsi"/>
          <w:sz w:val="20"/>
          <w:szCs w:val="20"/>
        </w:rPr>
        <w:t>2624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5D36DF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D36DF">
        <w:rPr>
          <w:rFonts w:asciiTheme="minorHAnsi" w:hAnsiTheme="minorHAnsi"/>
          <w:sz w:val="20"/>
          <w:szCs w:val="20"/>
        </w:rPr>
        <w:t>2</w:t>
      </w:r>
      <w:r w:rsidR="0001160D">
        <w:rPr>
          <w:rFonts w:asciiTheme="minorHAnsi" w:hAnsiTheme="minorHAnsi"/>
          <w:sz w:val="20"/>
          <w:szCs w:val="20"/>
        </w:rPr>
        <w:t>4</w:t>
      </w:r>
      <w:r w:rsidR="005D36DF">
        <w:rPr>
          <w:rFonts w:asciiTheme="minorHAnsi" w:hAnsiTheme="minorHAnsi"/>
          <w:sz w:val="20"/>
          <w:szCs w:val="20"/>
        </w:rPr>
        <w:t>.0</w:t>
      </w:r>
      <w:r w:rsidR="0001160D">
        <w:rPr>
          <w:rFonts w:asciiTheme="minorHAnsi" w:hAnsiTheme="minorHAnsi"/>
          <w:sz w:val="20"/>
          <w:szCs w:val="20"/>
        </w:rPr>
        <w:t>5</w:t>
      </w:r>
      <w:r w:rsidR="005D36DF">
        <w:rPr>
          <w:rFonts w:asciiTheme="minorHAnsi" w:hAnsiTheme="minorHAnsi"/>
          <w:sz w:val="20"/>
          <w:szCs w:val="20"/>
        </w:rPr>
        <w:t>.2018</w:t>
      </w:r>
      <w:proofErr w:type="gramEnd"/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77777777" w:rsidR="00567AFD" w:rsidRDefault="00567AFD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Marcela Ožďanová,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0AEC840C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E926D3E" w14:textId="4275B5CB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8CC1785" w14:textId="08AF1CF1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0F5F1F0" w14:textId="364F5A5B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1D4A2A8E" w14:textId="414F46BA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19592FCE" w14:textId="0D8BAA56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2125712" w14:textId="54A31F5C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10F6F3C0" w14:textId="6CF1D2BB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142E42CD" w14:textId="4DC5777B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B858EB0" w14:textId="751EB561" w:rsidR="00BB6258" w:rsidRDefault="00BB6258" w:rsidP="005629B3">
      <w:pPr>
        <w:jc w:val="both"/>
        <w:rPr>
          <w:noProof/>
        </w:rPr>
      </w:pPr>
    </w:p>
    <w:p w14:paraId="36214AF7" w14:textId="01C1FD03" w:rsidR="0001160D" w:rsidRDefault="0001160D" w:rsidP="005629B3">
      <w:pPr>
        <w:jc w:val="both"/>
        <w:rPr>
          <w:noProof/>
        </w:rPr>
      </w:pPr>
    </w:p>
    <w:p w14:paraId="0A140FF2" w14:textId="3EB45EB4" w:rsidR="0001160D" w:rsidRDefault="0001160D" w:rsidP="005629B3">
      <w:pPr>
        <w:jc w:val="both"/>
        <w:rPr>
          <w:noProof/>
        </w:rPr>
      </w:pPr>
    </w:p>
    <w:p w14:paraId="28A1FB2C" w14:textId="692D7EBB" w:rsidR="0001160D" w:rsidRDefault="0001160D" w:rsidP="005629B3">
      <w:pPr>
        <w:jc w:val="both"/>
        <w:rPr>
          <w:noProof/>
        </w:rPr>
      </w:pPr>
    </w:p>
    <w:p w14:paraId="1163AB2C" w14:textId="37AA654A" w:rsidR="0001160D" w:rsidRDefault="0001160D" w:rsidP="005629B3">
      <w:pPr>
        <w:jc w:val="both"/>
        <w:rPr>
          <w:noProof/>
        </w:rPr>
      </w:pPr>
    </w:p>
    <w:p w14:paraId="1EFCAB77" w14:textId="5E4AB711" w:rsidR="0001160D" w:rsidRDefault="0001160D" w:rsidP="005629B3">
      <w:pPr>
        <w:jc w:val="both"/>
        <w:rPr>
          <w:noProof/>
        </w:rPr>
      </w:pPr>
    </w:p>
    <w:p w14:paraId="735DE1E9" w14:textId="73B0A692" w:rsidR="0001160D" w:rsidRDefault="0001160D" w:rsidP="005629B3">
      <w:pPr>
        <w:jc w:val="both"/>
        <w:rPr>
          <w:noProof/>
        </w:rPr>
      </w:pPr>
    </w:p>
    <w:p w14:paraId="5AF323DA" w14:textId="3CB342EE" w:rsidR="0001160D" w:rsidRDefault="0001160D" w:rsidP="005629B3">
      <w:pPr>
        <w:jc w:val="both"/>
        <w:rPr>
          <w:noProof/>
        </w:rPr>
      </w:pPr>
    </w:p>
    <w:p w14:paraId="441B6B0B" w14:textId="6AE662E1" w:rsidR="0001160D" w:rsidRDefault="0001160D" w:rsidP="005629B3">
      <w:pPr>
        <w:jc w:val="both"/>
        <w:rPr>
          <w:noProof/>
        </w:rPr>
      </w:pPr>
    </w:p>
    <w:p w14:paraId="236C426F" w14:textId="0B3D56FF" w:rsidR="0001160D" w:rsidRDefault="0001160D" w:rsidP="005629B3">
      <w:pPr>
        <w:jc w:val="both"/>
        <w:rPr>
          <w:noProof/>
        </w:rPr>
      </w:pPr>
    </w:p>
    <w:p w14:paraId="4B3F30BB" w14:textId="523D4355" w:rsidR="0001160D" w:rsidRDefault="0001160D" w:rsidP="005629B3">
      <w:pPr>
        <w:jc w:val="both"/>
        <w:rPr>
          <w:noProof/>
        </w:rPr>
      </w:pPr>
    </w:p>
    <w:p w14:paraId="134D0613" w14:textId="0CEEB37D" w:rsidR="0001160D" w:rsidRDefault="0001160D" w:rsidP="005629B3">
      <w:pPr>
        <w:jc w:val="both"/>
        <w:rPr>
          <w:noProof/>
        </w:rPr>
      </w:pPr>
    </w:p>
    <w:p w14:paraId="3C6878CF" w14:textId="0EEF7219" w:rsidR="0001160D" w:rsidRDefault="0001160D" w:rsidP="005629B3">
      <w:pPr>
        <w:jc w:val="both"/>
        <w:rPr>
          <w:noProof/>
        </w:rPr>
      </w:pPr>
    </w:p>
    <w:p w14:paraId="12F8D4D8" w14:textId="6F0A18F0" w:rsidR="0001160D" w:rsidRDefault="0001160D" w:rsidP="005629B3">
      <w:pPr>
        <w:jc w:val="both"/>
        <w:rPr>
          <w:noProof/>
        </w:rPr>
      </w:pPr>
    </w:p>
    <w:p w14:paraId="716BB169" w14:textId="4B81FDA8" w:rsidR="0001160D" w:rsidRDefault="0001160D" w:rsidP="005629B3">
      <w:pPr>
        <w:jc w:val="both"/>
        <w:rPr>
          <w:noProof/>
        </w:rPr>
      </w:pPr>
    </w:p>
    <w:p w14:paraId="54ED0141" w14:textId="2355F1AF" w:rsidR="0001160D" w:rsidRDefault="0001160D" w:rsidP="005629B3">
      <w:pPr>
        <w:jc w:val="both"/>
        <w:rPr>
          <w:noProof/>
        </w:rPr>
      </w:pPr>
    </w:p>
    <w:p w14:paraId="33257C99" w14:textId="4029D1FF" w:rsidR="0001160D" w:rsidRDefault="0001160D" w:rsidP="005629B3">
      <w:pPr>
        <w:jc w:val="both"/>
        <w:rPr>
          <w:noProof/>
        </w:rPr>
      </w:pPr>
    </w:p>
    <w:p w14:paraId="1F6A0A5E" w14:textId="421C6CC0" w:rsidR="0001160D" w:rsidRDefault="0001160D" w:rsidP="005629B3">
      <w:pPr>
        <w:jc w:val="both"/>
        <w:rPr>
          <w:noProof/>
        </w:rPr>
      </w:pPr>
    </w:p>
    <w:p w14:paraId="5784C8DB" w14:textId="1C1A61DC" w:rsidR="0001160D" w:rsidRDefault="0001160D" w:rsidP="005629B3">
      <w:pPr>
        <w:jc w:val="both"/>
        <w:rPr>
          <w:noProof/>
        </w:rPr>
      </w:pPr>
    </w:p>
    <w:p w14:paraId="3B2908C4" w14:textId="30422ADC" w:rsidR="0001160D" w:rsidRDefault="0001160D" w:rsidP="005629B3">
      <w:pPr>
        <w:jc w:val="both"/>
        <w:rPr>
          <w:noProof/>
        </w:rPr>
      </w:pPr>
    </w:p>
    <w:p w14:paraId="757303B9" w14:textId="5862CD30" w:rsidR="0001160D" w:rsidRDefault="0001160D" w:rsidP="005629B3">
      <w:pPr>
        <w:jc w:val="both"/>
        <w:rPr>
          <w:noProof/>
        </w:rPr>
      </w:pPr>
    </w:p>
    <w:p w14:paraId="61668360" w14:textId="34CAEB05" w:rsidR="0001160D" w:rsidRDefault="0001160D" w:rsidP="005629B3">
      <w:pPr>
        <w:jc w:val="both"/>
        <w:rPr>
          <w:noProof/>
        </w:rPr>
      </w:pPr>
    </w:p>
    <w:p w14:paraId="67A6DCEE" w14:textId="0776868F" w:rsidR="0001160D" w:rsidRDefault="0001160D" w:rsidP="005629B3">
      <w:pPr>
        <w:jc w:val="both"/>
        <w:rPr>
          <w:noProof/>
        </w:rPr>
      </w:pPr>
    </w:p>
    <w:tbl>
      <w:tblPr>
        <w:tblW w:w="97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1"/>
        <w:gridCol w:w="2700"/>
      </w:tblGrid>
      <w:tr w:rsidR="0001160D" w:rsidRPr="0001160D" w14:paraId="7E02EAB3" w14:textId="77777777" w:rsidTr="0001160D">
        <w:trPr>
          <w:trHeight w:val="276"/>
        </w:trPr>
        <w:tc>
          <w:tcPr>
            <w:tcW w:w="7061" w:type="dxa"/>
            <w:tcBorders>
              <w:top w:val="nil"/>
              <w:left w:val="nil"/>
              <w:bottom w:val="nil"/>
              <w:right w:val="nil"/>
            </w:tcBorders>
          </w:tcPr>
          <w:p w14:paraId="5AF414F4" w14:textId="77777777" w:rsidR="0001160D" w:rsidRPr="0001160D" w:rsidRDefault="0001160D" w:rsidP="0001160D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D4B945" w14:textId="50F1171E" w:rsidR="0001160D" w:rsidRPr="0001160D" w:rsidRDefault="0001160D" w:rsidP="0001160D">
            <w:pPr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</w:tbl>
    <w:p w14:paraId="6914C53C" w14:textId="0F5D8738" w:rsidR="0001160D" w:rsidRDefault="0001160D" w:rsidP="005629B3">
      <w:pPr>
        <w:jc w:val="both"/>
        <w:rPr>
          <w:rFonts w:asciiTheme="minorHAnsi" w:hAnsiTheme="minorHAnsi"/>
          <w:sz w:val="20"/>
          <w:szCs w:val="20"/>
        </w:rPr>
      </w:pPr>
      <w:r w:rsidRPr="0001160D">
        <w:rPr>
          <w:noProof/>
        </w:rPr>
        <w:drawing>
          <wp:inline distT="0" distB="0" distL="0" distR="0" wp14:anchorId="7B2E57EC" wp14:editId="49BF7001">
            <wp:extent cx="5904865" cy="9514452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51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60D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67B7" w14:textId="77777777" w:rsidR="00577F3D" w:rsidRDefault="00577F3D">
      <w:r>
        <w:separator/>
      </w:r>
    </w:p>
  </w:endnote>
  <w:endnote w:type="continuationSeparator" w:id="0">
    <w:p w14:paraId="4F2DBB3B" w14:textId="77777777" w:rsidR="00577F3D" w:rsidRDefault="0057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2A6B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2A6BB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5DDA6" w14:textId="77777777" w:rsidR="00577F3D" w:rsidRDefault="00577F3D">
      <w:r>
        <w:separator/>
      </w:r>
    </w:p>
  </w:footnote>
  <w:footnote w:type="continuationSeparator" w:id="0">
    <w:p w14:paraId="72992438" w14:textId="77777777" w:rsidR="00577F3D" w:rsidRDefault="0057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7322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3610"/>
    <w:multiLevelType w:val="multilevel"/>
    <w:tmpl w:val="766A1EDE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0EB0F0A4"/>
    <w:lvl w:ilvl="0" w:tplc="7F681FF6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1160D"/>
    <w:rsid w:val="00043842"/>
    <w:rsid w:val="00050899"/>
    <w:rsid w:val="000A0147"/>
    <w:rsid w:val="000A2F2D"/>
    <w:rsid w:val="000A607E"/>
    <w:rsid w:val="000A79C9"/>
    <w:rsid w:val="000C5054"/>
    <w:rsid w:val="000E391C"/>
    <w:rsid w:val="0011289B"/>
    <w:rsid w:val="00124A15"/>
    <w:rsid w:val="0013560F"/>
    <w:rsid w:val="00135A63"/>
    <w:rsid w:val="00146B77"/>
    <w:rsid w:val="00156F3F"/>
    <w:rsid w:val="00175537"/>
    <w:rsid w:val="00177B9D"/>
    <w:rsid w:val="00196C43"/>
    <w:rsid w:val="001A7479"/>
    <w:rsid w:val="00231482"/>
    <w:rsid w:val="00243D9C"/>
    <w:rsid w:val="0024468F"/>
    <w:rsid w:val="00271822"/>
    <w:rsid w:val="00274B67"/>
    <w:rsid w:val="0027527A"/>
    <w:rsid w:val="002A6BBD"/>
    <w:rsid w:val="002A767D"/>
    <w:rsid w:val="002A7779"/>
    <w:rsid w:val="002B3740"/>
    <w:rsid w:val="002B7F0B"/>
    <w:rsid w:val="002D25B0"/>
    <w:rsid w:val="002E6D8D"/>
    <w:rsid w:val="002E7761"/>
    <w:rsid w:val="002F00F9"/>
    <w:rsid w:val="00310AE0"/>
    <w:rsid w:val="00310AEF"/>
    <w:rsid w:val="00312BE2"/>
    <w:rsid w:val="003200B9"/>
    <w:rsid w:val="00331DF2"/>
    <w:rsid w:val="00346869"/>
    <w:rsid w:val="00392309"/>
    <w:rsid w:val="003936DD"/>
    <w:rsid w:val="003A1ABA"/>
    <w:rsid w:val="003B43AC"/>
    <w:rsid w:val="003E499A"/>
    <w:rsid w:val="003F37F8"/>
    <w:rsid w:val="00402340"/>
    <w:rsid w:val="00415ED6"/>
    <w:rsid w:val="004772D9"/>
    <w:rsid w:val="004D0A26"/>
    <w:rsid w:val="004E4C79"/>
    <w:rsid w:val="004F064E"/>
    <w:rsid w:val="00537483"/>
    <w:rsid w:val="00560E90"/>
    <w:rsid w:val="005629B3"/>
    <w:rsid w:val="00567AFD"/>
    <w:rsid w:val="00571C32"/>
    <w:rsid w:val="00577F3D"/>
    <w:rsid w:val="005C2DBC"/>
    <w:rsid w:val="005C7765"/>
    <w:rsid w:val="005D36DF"/>
    <w:rsid w:val="00621543"/>
    <w:rsid w:val="00655EE3"/>
    <w:rsid w:val="00696A0E"/>
    <w:rsid w:val="00697DCB"/>
    <w:rsid w:val="006E5239"/>
    <w:rsid w:val="006F4D42"/>
    <w:rsid w:val="00733480"/>
    <w:rsid w:val="00771467"/>
    <w:rsid w:val="00772A39"/>
    <w:rsid w:val="00783D93"/>
    <w:rsid w:val="007933FA"/>
    <w:rsid w:val="007947B1"/>
    <w:rsid w:val="007973D9"/>
    <w:rsid w:val="007A01F4"/>
    <w:rsid w:val="007C648F"/>
    <w:rsid w:val="007F765A"/>
    <w:rsid w:val="00844BB2"/>
    <w:rsid w:val="008764D9"/>
    <w:rsid w:val="00877910"/>
    <w:rsid w:val="008C22A2"/>
    <w:rsid w:val="008D4B97"/>
    <w:rsid w:val="008D53F1"/>
    <w:rsid w:val="008D7FF1"/>
    <w:rsid w:val="008E7E19"/>
    <w:rsid w:val="00932B78"/>
    <w:rsid w:val="009363E3"/>
    <w:rsid w:val="00942D1E"/>
    <w:rsid w:val="00974CFB"/>
    <w:rsid w:val="009810E7"/>
    <w:rsid w:val="00990FF5"/>
    <w:rsid w:val="00994D3D"/>
    <w:rsid w:val="009D60BC"/>
    <w:rsid w:val="00A06864"/>
    <w:rsid w:val="00A16F26"/>
    <w:rsid w:val="00A2236F"/>
    <w:rsid w:val="00A24FD7"/>
    <w:rsid w:val="00A505FC"/>
    <w:rsid w:val="00A60F23"/>
    <w:rsid w:val="00A80CAE"/>
    <w:rsid w:val="00A85899"/>
    <w:rsid w:val="00AC05DE"/>
    <w:rsid w:val="00B17FC0"/>
    <w:rsid w:val="00B25A6A"/>
    <w:rsid w:val="00B342A5"/>
    <w:rsid w:val="00B46E3A"/>
    <w:rsid w:val="00B50DD9"/>
    <w:rsid w:val="00B9295E"/>
    <w:rsid w:val="00BA144A"/>
    <w:rsid w:val="00BB297F"/>
    <w:rsid w:val="00BB6258"/>
    <w:rsid w:val="00BC00B1"/>
    <w:rsid w:val="00BC3DF4"/>
    <w:rsid w:val="00BC41E3"/>
    <w:rsid w:val="00BC5983"/>
    <w:rsid w:val="00C00D1C"/>
    <w:rsid w:val="00C0252D"/>
    <w:rsid w:val="00C8265D"/>
    <w:rsid w:val="00C94C43"/>
    <w:rsid w:val="00CE67B1"/>
    <w:rsid w:val="00CF2BB9"/>
    <w:rsid w:val="00D06A91"/>
    <w:rsid w:val="00D33593"/>
    <w:rsid w:val="00D527C2"/>
    <w:rsid w:val="00DA3B85"/>
    <w:rsid w:val="00DB16DF"/>
    <w:rsid w:val="00DE410E"/>
    <w:rsid w:val="00DE74F5"/>
    <w:rsid w:val="00E01234"/>
    <w:rsid w:val="00E10816"/>
    <w:rsid w:val="00E205A8"/>
    <w:rsid w:val="00E21A6E"/>
    <w:rsid w:val="00E24911"/>
    <w:rsid w:val="00E51775"/>
    <w:rsid w:val="00E52619"/>
    <w:rsid w:val="00E77A44"/>
    <w:rsid w:val="00E85EBF"/>
    <w:rsid w:val="00E919C9"/>
    <w:rsid w:val="00EB381F"/>
    <w:rsid w:val="00EB5E74"/>
    <w:rsid w:val="00ED2D4B"/>
    <w:rsid w:val="00EF3746"/>
    <w:rsid w:val="00F21AF3"/>
    <w:rsid w:val="00F63730"/>
    <w:rsid w:val="00F63C56"/>
    <w:rsid w:val="00FA2CBA"/>
    <w:rsid w:val="00FC469E"/>
    <w:rsid w:val="00FE2E04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6D5BB8-EC45-4F2B-93CF-4769BFED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2277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Ožďanová Marcela</cp:lastModifiedBy>
  <cp:revision>15</cp:revision>
  <cp:lastPrinted>2018-01-17T12:28:00Z</cp:lastPrinted>
  <dcterms:created xsi:type="dcterms:W3CDTF">2018-06-04T07:22:00Z</dcterms:created>
  <dcterms:modified xsi:type="dcterms:W3CDTF">2018-06-11T06:18:00Z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